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2B" w:rsidRPr="00BE3FF5" w:rsidRDefault="00C8382B" w:rsidP="004C6C6D">
      <w:pPr>
        <w:jc w:val="center"/>
        <w:rPr>
          <w:rFonts w:ascii="Candara" w:hAnsi="Candara"/>
          <w:b/>
          <w:bCs/>
          <w:color w:val="002060"/>
          <w:sz w:val="28"/>
          <w:szCs w:val="28"/>
        </w:rPr>
      </w:pPr>
      <w:proofErr w:type="spellStart"/>
      <w:r w:rsidRPr="00BE3FF5">
        <w:rPr>
          <w:rFonts w:ascii="Candara" w:hAnsi="Candara"/>
          <w:b/>
          <w:bCs/>
          <w:color w:val="002060"/>
          <w:sz w:val="28"/>
          <w:szCs w:val="28"/>
        </w:rPr>
        <w:t>Doing</w:t>
      </w:r>
      <w:proofErr w:type="spellEnd"/>
      <w:r w:rsidRPr="00BE3FF5">
        <w:rPr>
          <w:rFonts w:ascii="Candara" w:hAnsi="Candara"/>
          <w:b/>
          <w:bCs/>
          <w:color w:val="002060"/>
          <w:sz w:val="28"/>
          <w:szCs w:val="28"/>
        </w:rPr>
        <w:t xml:space="preserve"> Business 2016 : </w:t>
      </w:r>
      <w:r w:rsidR="00660829" w:rsidRPr="00BE3FF5">
        <w:rPr>
          <w:rFonts w:ascii="Candara" w:hAnsi="Candara"/>
          <w:b/>
          <w:bCs/>
          <w:color w:val="002060"/>
          <w:sz w:val="28"/>
          <w:szCs w:val="28"/>
        </w:rPr>
        <w:t xml:space="preserve">Le Maroc </w:t>
      </w:r>
      <w:r w:rsidRPr="00BE3FF5">
        <w:rPr>
          <w:rFonts w:ascii="Candara" w:hAnsi="Candara"/>
          <w:b/>
          <w:bCs/>
          <w:color w:val="002060"/>
          <w:sz w:val="28"/>
          <w:szCs w:val="28"/>
        </w:rPr>
        <w:t xml:space="preserve">gagne 5 places et </w:t>
      </w:r>
      <w:r w:rsidR="00660829" w:rsidRPr="00BE3FF5">
        <w:rPr>
          <w:rFonts w:ascii="Candara" w:hAnsi="Candara"/>
          <w:b/>
          <w:bCs/>
          <w:color w:val="002060"/>
          <w:sz w:val="28"/>
          <w:szCs w:val="28"/>
        </w:rPr>
        <w:t>réduit les écarts</w:t>
      </w:r>
      <w:r w:rsidRPr="00BE3FF5">
        <w:rPr>
          <w:rFonts w:ascii="Candara" w:hAnsi="Candara"/>
          <w:b/>
          <w:bCs/>
          <w:color w:val="002060"/>
          <w:sz w:val="28"/>
          <w:szCs w:val="28"/>
        </w:rPr>
        <w:t xml:space="preserve"> avec les pays de la région</w:t>
      </w:r>
    </w:p>
    <w:p w:rsidR="00C8382B" w:rsidRPr="006C532E" w:rsidRDefault="00C8382B" w:rsidP="004E4FDB">
      <w:pPr>
        <w:pStyle w:val="Paragraphedeliste"/>
        <w:jc w:val="both"/>
        <w:rPr>
          <w:rFonts w:ascii="Candara" w:hAnsi="Candara"/>
          <w:sz w:val="24"/>
          <w:szCs w:val="24"/>
        </w:rPr>
      </w:pPr>
      <w:r w:rsidRPr="006C532E">
        <w:rPr>
          <w:rFonts w:ascii="Candara" w:hAnsi="Candara"/>
          <w:sz w:val="24"/>
          <w:szCs w:val="24"/>
        </w:rPr>
        <w:t xml:space="preserve">Le rapport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2016 publié sur le site de la banque mondiale le Mardi 27 Octobre 2015 à 19h00 annonce une progression du Maroc de 5 places dans le classement général des 189 économies que compte le rapport.</w:t>
      </w:r>
    </w:p>
    <w:p w:rsidR="00660829" w:rsidRPr="006C532E" w:rsidRDefault="00C8382B" w:rsidP="004E4FDB">
      <w:pPr>
        <w:pStyle w:val="Paragraphedeliste"/>
        <w:jc w:val="both"/>
        <w:rPr>
          <w:rFonts w:ascii="Candara" w:hAnsi="Candara"/>
          <w:sz w:val="24"/>
          <w:szCs w:val="24"/>
        </w:rPr>
      </w:pPr>
      <w:r w:rsidRPr="006C532E">
        <w:rPr>
          <w:rFonts w:ascii="Candara" w:hAnsi="Candara"/>
          <w:sz w:val="24"/>
          <w:szCs w:val="24"/>
        </w:rPr>
        <w:t>Il est à rappeler que c</w:t>
      </w:r>
      <w:r w:rsidR="00660829" w:rsidRPr="006C532E">
        <w:rPr>
          <w:rFonts w:ascii="Candara" w:hAnsi="Candara"/>
          <w:sz w:val="24"/>
          <w:szCs w:val="24"/>
        </w:rPr>
        <w:t>e rapport est élaboré annuellement p</w:t>
      </w:r>
      <w:r w:rsidRPr="006C532E">
        <w:rPr>
          <w:rFonts w:ascii="Candara" w:hAnsi="Candara"/>
          <w:sz w:val="24"/>
          <w:szCs w:val="24"/>
        </w:rPr>
        <w:t xml:space="preserve">ar le Groupe de </w:t>
      </w:r>
      <w:r w:rsidR="006F1B64" w:rsidRPr="006C532E">
        <w:rPr>
          <w:rFonts w:ascii="Candara" w:hAnsi="Candara"/>
          <w:sz w:val="24"/>
          <w:szCs w:val="24"/>
        </w:rPr>
        <w:t>la Banque</w:t>
      </w:r>
      <w:r w:rsidR="00660829" w:rsidRPr="006C532E">
        <w:rPr>
          <w:rFonts w:ascii="Candara" w:hAnsi="Candara"/>
          <w:sz w:val="24"/>
          <w:szCs w:val="24"/>
        </w:rPr>
        <w:t xml:space="preserve"> Mondiale depuis l’année 2003 (13</w:t>
      </w:r>
      <w:r w:rsidR="00660829" w:rsidRPr="006C532E">
        <w:rPr>
          <w:rFonts w:ascii="Candara" w:hAnsi="Candara"/>
          <w:sz w:val="24"/>
          <w:szCs w:val="24"/>
          <w:vertAlign w:val="superscript"/>
        </w:rPr>
        <w:t>ème</w:t>
      </w:r>
      <w:r w:rsidR="00660829" w:rsidRPr="006C532E">
        <w:rPr>
          <w:rFonts w:ascii="Candara" w:hAnsi="Candara"/>
          <w:sz w:val="24"/>
          <w:szCs w:val="24"/>
        </w:rPr>
        <w:t xml:space="preserve"> édition). Il s’agit d’une étude annuelle de l’environnement juridique, mesuré par dix indicateurs, dans lequel les entreprises du secteur privé exercent leurs activités à travers le monde. Ce rapport évalue les réglementations ayant une incidence sur 10 étapes de la vie d’une entreprise. Il s’intéresse aux entreprises locales et étudie les réglementations auxquelles elles sont assujetties aux différents stades de leur vie, tout en se basant sur des scenarii normalisés.</w:t>
      </w:r>
    </w:p>
    <w:p w:rsidR="00964323" w:rsidRPr="006C532E" w:rsidRDefault="006F1B64" w:rsidP="004E4FDB">
      <w:pPr>
        <w:pStyle w:val="Paragraphedeliste"/>
        <w:jc w:val="both"/>
        <w:rPr>
          <w:rFonts w:ascii="Candara" w:hAnsi="Candara" w:cstheme="majorBidi"/>
          <w:sz w:val="24"/>
          <w:szCs w:val="24"/>
        </w:rPr>
      </w:pPr>
      <w:r w:rsidRPr="006C532E">
        <w:rPr>
          <w:rFonts w:ascii="Candara" w:hAnsi="Candara" w:cstheme="majorBidi"/>
          <w:sz w:val="24"/>
          <w:szCs w:val="24"/>
        </w:rPr>
        <w:t>Cette progression du Maroc dans ce classement est à compléter par une comparaison par rapport à l’évolution des pays africains et ceux de la région MENA.</w:t>
      </w:r>
    </w:p>
    <w:p w:rsidR="004E4FDB" w:rsidRPr="006C532E" w:rsidRDefault="006F1B64" w:rsidP="004E4FDB">
      <w:pPr>
        <w:pStyle w:val="Paragraphedeliste"/>
        <w:jc w:val="both"/>
        <w:rPr>
          <w:rStyle w:val="Titredulivre"/>
          <w:rFonts w:ascii="Candara" w:hAnsi="Candara"/>
          <w:b w:val="0"/>
          <w:bCs w:val="0"/>
          <w:i w:val="0"/>
          <w:iCs w:val="0"/>
          <w:sz w:val="24"/>
          <w:szCs w:val="24"/>
        </w:rPr>
      </w:pPr>
      <w:r w:rsidRPr="006C532E">
        <w:rPr>
          <w:rFonts w:ascii="Candara" w:hAnsi="Candara"/>
          <w:sz w:val="24"/>
          <w:szCs w:val="24"/>
        </w:rPr>
        <w:t>En effet</w:t>
      </w:r>
      <w:r w:rsidR="004E4FDB" w:rsidRPr="006C532E">
        <w:rPr>
          <w:rFonts w:ascii="Candara" w:hAnsi="Candara"/>
          <w:sz w:val="24"/>
          <w:szCs w:val="24"/>
        </w:rPr>
        <w:t>, Comme le montre les tableaux, ci-dessous, le Maroc arrive durant les quatre dernières années à réduire considérablement son classement par rapport aux pays du MENA et aux pays du continent Africain :</w:t>
      </w:r>
    </w:p>
    <w:p w:rsidR="004E4FDB" w:rsidRPr="006C532E" w:rsidRDefault="004E4FDB" w:rsidP="004E4FDB">
      <w:pPr>
        <w:pStyle w:val="Paragraphedeliste"/>
        <w:numPr>
          <w:ilvl w:val="0"/>
          <w:numId w:val="15"/>
        </w:numPr>
        <w:jc w:val="both"/>
        <w:rPr>
          <w:rStyle w:val="Titredulivre"/>
          <w:rFonts w:ascii="Candara" w:hAnsi="Candara"/>
          <w:b w:val="0"/>
          <w:bCs w:val="0"/>
          <w:sz w:val="24"/>
          <w:szCs w:val="24"/>
          <w:u w:val="single"/>
        </w:rPr>
      </w:pPr>
      <w:r w:rsidRPr="006C532E">
        <w:rPr>
          <w:rStyle w:val="Titredulivre"/>
          <w:rFonts w:ascii="Candara" w:hAnsi="Candara"/>
          <w:sz w:val="24"/>
          <w:szCs w:val="24"/>
          <w:u w:val="single"/>
        </w:rPr>
        <w:t>Par rapport aux pays du MENA :</w:t>
      </w:r>
    </w:p>
    <w:p w:rsidR="004E4FDB" w:rsidRPr="006C532E" w:rsidRDefault="004E4FDB" w:rsidP="006C532E">
      <w:pPr>
        <w:ind w:left="708"/>
        <w:jc w:val="both"/>
        <w:rPr>
          <w:rFonts w:ascii="Candara" w:hAnsi="Candara"/>
          <w:sz w:val="24"/>
          <w:szCs w:val="24"/>
          <w:rtl/>
        </w:rPr>
      </w:pPr>
      <w:r w:rsidRPr="006C532E">
        <w:rPr>
          <w:rFonts w:ascii="Candara" w:hAnsi="Candara"/>
          <w:sz w:val="24"/>
          <w:szCs w:val="24"/>
        </w:rPr>
        <w:t>Depuis 201</w:t>
      </w:r>
      <w:r w:rsidR="006C532E" w:rsidRPr="006C532E">
        <w:rPr>
          <w:rFonts w:ascii="Candara" w:hAnsi="Candara"/>
          <w:sz w:val="24"/>
          <w:szCs w:val="24"/>
        </w:rPr>
        <w:t>2</w:t>
      </w:r>
      <w:r w:rsidRPr="006C532E">
        <w:rPr>
          <w:rFonts w:ascii="Candara" w:hAnsi="Candara"/>
          <w:sz w:val="24"/>
          <w:szCs w:val="24"/>
        </w:rPr>
        <w:t>, le Maroc a pu gagner deux rangs au classement par rapport aux pays du MENA, en passant du 8ème rang au 6ème, tout en réduisant les écarts le séparant des pays avancés au classement.</w:t>
      </w:r>
    </w:p>
    <w:tbl>
      <w:tblPr>
        <w:tblStyle w:val="GridTable2Accent1"/>
        <w:tblW w:w="4832" w:type="pct"/>
        <w:tblLook w:val="04A0"/>
      </w:tblPr>
      <w:tblGrid>
        <w:gridCol w:w="1891"/>
        <w:gridCol w:w="1418"/>
        <w:gridCol w:w="1921"/>
        <w:gridCol w:w="285"/>
        <w:gridCol w:w="1452"/>
        <w:gridCol w:w="122"/>
        <w:gridCol w:w="1887"/>
      </w:tblGrid>
      <w:tr w:rsidR="004E4FDB" w:rsidRPr="006C532E" w:rsidTr="00AA10E7">
        <w:trPr>
          <w:cnfStyle w:val="100000000000"/>
          <w:trHeight w:val="113"/>
        </w:trPr>
        <w:tc>
          <w:tcPr>
            <w:cnfStyle w:val="001000000000"/>
            <w:tcW w:w="1053" w:type="pct"/>
            <w:vAlign w:val="center"/>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Pays MENA</w:t>
            </w:r>
          </w:p>
        </w:tc>
        <w:tc>
          <w:tcPr>
            <w:tcW w:w="790" w:type="pct"/>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 xml:space="preserve">Rangs </w:t>
            </w:r>
          </w:p>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DB 2012</w:t>
            </w:r>
          </w:p>
        </w:tc>
        <w:tc>
          <w:tcPr>
            <w:tcW w:w="1070" w:type="pct"/>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Ecarts par rapport au Maroc</w:t>
            </w:r>
          </w:p>
        </w:tc>
        <w:tc>
          <w:tcPr>
            <w:tcW w:w="159" w:type="pct"/>
          </w:tcPr>
          <w:p w:rsidR="004E4FDB" w:rsidRPr="006C532E" w:rsidRDefault="004E4FDB" w:rsidP="004E4FDB">
            <w:pPr>
              <w:jc w:val="both"/>
              <w:cnfStyle w:val="100000000000"/>
              <w:rPr>
                <w:rFonts w:ascii="Candara" w:hAnsi="Candara" w:cs="Sakkal Majalla"/>
                <w:sz w:val="24"/>
                <w:szCs w:val="24"/>
                <w:lang w:bidi="ar-MA"/>
              </w:rPr>
            </w:pPr>
          </w:p>
        </w:tc>
        <w:tc>
          <w:tcPr>
            <w:tcW w:w="809" w:type="pct"/>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Rangs</w:t>
            </w:r>
          </w:p>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DB 2016</w:t>
            </w:r>
          </w:p>
        </w:tc>
        <w:tc>
          <w:tcPr>
            <w:tcW w:w="1118" w:type="pct"/>
            <w:gridSpan w:val="2"/>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Ecarts par rapport au Maroc</w:t>
            </w:r>
          </w:p>
        </w:tc>
      </w:tr>
      <w:tr w:rsidR="004E4FDB" w:rsidRPr="006C532E" w:rsidTr="00AA10E7">
        <w:trPr>
          <w:cnfStyle w:val="000000100000"/>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Emirats Arabes Unies</w:t>
            </w:r>
          </w:p>
        </w:tc>
        <w:tc>
          <w:tcPr>
            <w:tcW w:w="790" w:type="pct"/>
            <w:vAlign w:val="center"/>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33</w:t>
            </w:r>
          </w:p>
        </w:tc>
        <w:tc>
          <w:tcPr>
            <w:tcW w:w="1070"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-61</w:t>
            </w:r>
          </w:p>
        </w:tc>
        <w:tc>
          <w:tcPr>
            <w:tcW w:w="159" w:type="pct"/>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877" w:type="pct"/>
            <w:gridSpan w:val="2"/>
            <w:vAlign w:val="center"/>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31</w:t>
            </w:r>
          </w:p>
        </w:tc>
        <w:tc>
          <w:tcPr>
            <w:tcW w:w="1051"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-44</w:t>
            </w:r>
          </w:p>
        </w:tc>
      </w:tr>
      <w:tr w:rsidR="004E4FDB" w:rsidRPr="006C532E" w:rsidTr="00AA10E7">
        <w:trPr>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Bahreïn</w:t>
            </w:r>
          </w:p>
        </w:tc>
        <w:tc>
          <w:tcPr>
            <w:tcW w:w="790" w:type="pct"/>
            <w:vAlign w:val="center"/>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38</w:t>
            </w:r>
          </w:p>
        </w:tc>
        <w:tc>
          <w:tcPr>
            <w:tcW w:w="1070" w:type="pct"/>
            <w:vAlign w:val="center"/>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-56</w:t>
            </w:r>
          </w:p>
        </w:tc>
        <w:tc>
          <w:tcPr>
            <w:tcW w:w="159" w:type="pct"/>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877" w:type="pct"/>
            <w:gridSpan w:val="2"/>
            <w:vAlign w:val="center"/>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65</w:t>
            </w:r>
          </w:p>
        </w:tc>
        <w:tc>
          <w:tcPr>
            <w:tcW w:w="1051" w:type="pct"/>
            <w:vAlign w:val="center"/>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-10</w:t>
            </w:r>
          </w:p>
        </w:tc>
      </w:tr>
      <w:tr w:rsidR="004E4FDB" w:rsidRPr="006C532E" w:rsidTr="00AA10E7">
        <w:trPr>
          <w:cnfStyle w:val="000000100000"/>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Qatar</w:t>
            </w:r>
          </w:p>
        </w:tc>
        <w:tc>
          <w:tcPr>
            <w:tcW w:w="790" w:type="pct"/>
            <w:vAlign w:val="center"/>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36</w:t>
            </w:r>
          </w:p>
        </w:tc>
        <w:tc>
          <w:tcPr>
            <w:tcW w:w="1070"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-58</w:t>
            </w:r>
          </w:p>
        </w:tc>
        <w:tc>
          <w:tcPr>
            <w:tcW w:w="159" w:type="pct"/>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877" w:type="pct"/>
            <w:gridSpan w:val="2"/>
            <w:vAlign w:val="center"/>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68</w:t>
            </w:r>
          </w:p>
        </w:tc>
        <w:tc>
          <w:tcPr>
            <w:tcW w:w="1051"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-7</w:t>
            </w:r>
          </w:p>
        </w:tc>
      </w:tr>
      <w:tr w:rsidR="004E4FDB" w:rsidRPr="006C532E" w:rsidTr="00AA10E7">
        <w:trPr>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Oman</w:t>
            </w:r>
          </w:p>
        </w:tc>
        <w:tc>
          <w:tcPr>
            <w:tcW w:w="790" w:type="pct"/>
            <w:vAlign w:val="center"/>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49</w:t>
            </w:r>
          </w:p>
        </w:tc>
        <w:tc>
          <w:tcPr>
            <w:tcW w:w="1070" w:type="pct"/>
            <w:vAlign w:val="center"/>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-45</w:t>
            </w:r>
          </w:p>
        </w:tc>
        <w:tc>
          <w:tcPr>
            <w:tcW w:w="159" w:type="pct"/>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877" w:type="pct"/>
            <w:gridSpan w:val="2"/>
            <w:vAlign w:val="center"/>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70</w:t>
            </w:r>
          </w:p>
        </w:tc>
        <w:tc>
          <w:tcPr>
            <w:tcW w:w="1051" w:type="pct"/>
            <w:vAlign w:val="center"/>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-5</w:t>
            </w:r>
          </w:p>
        </w:tc>
      </w:tr>
      <w:tr w:rsidR="004E4FDB" w:rsidRPr="006C532E" w:rsidTr="00AA10E7">
        <w:trPr>
          <w:cnfStyle w:val="000000100000"/>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Tunisie</w:t>
            </w:r>
          </w:p>
        </w:tc>
        <w:tc>
          <w:tcPr>
            <w:tcW w:w="790" w:type="pct"/>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46</w:t>
            </w:r>
          </w:p>
        </w:tc>
        <w:tc>
          <w:tcPr>
            <w:tcW w:w="1070" w:type="pct"/>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-48</w:t>
            </w:r>
          </w:p>
        </w:tc>
        <w:tc>
          <w:tcPr>
            <w:tcW w:w="159" w:type="pct"/>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877" w:type="pct"/>
            <w:gridSpan w:val="2"/>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74</w:t>
            </w:r>
          </w:p>
        </w:tc>
        <w:tc>
          <w:tcPr>
            <w:tcW w:w="1051"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-1</w:t>
            </w:r>
          </w:p>
        </w:tc>
      </w:tr>
      <w:tr w:rsidR="004E4FDB" w:rsidRPr="006C532E" w:rsidTr="00AA10E7">
        <w:trPr>
          <w:trHeight w:val="113"/>
        </w:trPr>
        <w:tc>
          <w:tcPr>
            <w:cnfStyle w:val="001000000000"/>
            <w:tcW w:w="1053" w:type="pct"/>
            <w:shd w:val="clear" w:color="auto" w:fill="FFC000" w:themeFill="accent4"/>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Maroc</w:t>
            </w:r>
          </w:p>
        </w:tc>
        <w:tc>
          <w:tcPr>
            <w:tcW w:w="790" w:type="pct"/>
            <w:shd w:val="clear" w:color="auto" w:fill="FFC000" w:themeFill="accent4"/>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94</w:t>
            </w:r>
          </w:p>
        </w:tc>
        <w:tc>
          <w:tcPr>
            <w:tcW w:w="1070" w:type="pct"/>
            <w:shd w:val="clear" w:color="auto" w:fill="FFC000" w:themeFill="accent4"/>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w:t>
            </w:r>
          </w:p>
        </w:tc>
        <w:tc>
          <w:tcPr>
            <w:tcW w:w="159" w:type="pct"/>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877" w:type="pct"/>
            <w:gridSpan w:val="2"/>
            <w:shd w:val="clear" w:color="auto" w:fill="FFC000" w:themeFill="accent4"/>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75</w:t>
            </w:r>
          </w:p>
        </w:tc>
        <w:tc>
          <w:tcPr>
            <w:tcW w:w="1051" w:type="pct"/>
            <w:shd w:val="clear" w:color="auto" w:fill="FFC000" w:themeFill="accent4"/>
            <w:vAlign w:val="center"/>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w:t>
            </w:r>
          </w:p>
        </w:tc>
      </w:tr>
      <w:tr w:rsidR="004E4FDB" w:rsidRPr="006C532E" w:rsidTr="00AA10E7">
        <w:trPr>
          <w:cnfStyle w:val="000000100000"/>
          <w:trHeight w:val="113"/>
        </w:trPr>
        <w:tc>
          <w:tcPr>
            <w:cnfStyle w:val="001000000000"/>
            <w:tcW w:w="1053" w:type="pct"/>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Arabie Saoudite</w:t>
            </w:r>
          </w:p>
        </w:tc>
        <w:tc>
          <w:tcPr>
            <w:tcW w:w="790" w:type="pct"/>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12</w:t>
            </w:r>
          </w:p>
        </w:tc>
        <w:tc>
          <w:tcPr>
            <w:tcW w:w="1070" w:type="pct"/>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-82</w:t>
            </w:r>
          </w:p>
        </w:tc>
        <w:tc>
          <w:tcPr>
            <w:tcW w:w="159" w:type="pct"/>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877" w:type="pct"/>
            <w:gridSpan w:val="2"/>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82</w:t>
            </w:r>
          </w:p>
        </w:tc>
        <w:tc>
          <w:tcPr>
            <w:tcW w:w="1051" w:type="pct"/>
            <w:vAlign w:val="center"/>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00B050"/>
                <w:sz w:val="24"/>
                <w:szCs w:val="24"/>
                <w:lang w:bidi="ar-MA"/>
              </w:rPr>
              <w:t>+7</w:t>
            </w:r>
          </w:p>
        </w:tc>
      </w:tr>
    </w:tbl>
    <w:p w:rsidR="004E4FDB" w:rsidRPr="006C532E" w:rsidRDefault="004E4FDB" w:rsidP="004E4FDB">
      <w:pPr>
        <w:jc w:val="both"/>
        <w:rPr>
          <w:rFonts w:ascii="Candara" w:hAnsi="Candara" w:cs="Sakkal Majalla"/>
          <w:sz w:val="24"/>
          <w:szCs w:val="24"/>
          <w:lang w:bidi="ar-MA"/>
        </w:rPr>
      </w:pPr>
    </w:p>
    <w:p w:rsidR="004E4FDB" w:rsidRPr="006C532E" w:rsidRDefault="004E4FDB" w:rsidP="004E4FDB">
      <w:pPr>
        <w:pStyle w:val="Paragraphedeliste"/>
        <w:numPr>
          <w:ilvl w:val="0"/>
          <w:numId w:val="15"/>
        </w:numPr>
        <w:jc w:val="both"/>
        <w:rPr>
          <w:rStyle w:val="Titredulivre"/>
          <w:rFonts w:ascii="Candara" w:hAnsi="Candara"/>
          <w:b w:val="0"/>
          <w:bCs w:val="0"/>
          <w:sz w:val="24"/>
          <w:szCs w:val="24"/>
          <w:u w:val="single"/>
        </w:rPr>
      </w:pPr>
      <w:r w:rsidRPr="006C532E">
        <w:rPr>
          <w:rStyle w:val="Titredulivre"/>
          <w:rFonts w:ascii="Candara" w:hAnsi="Candara"/>
          <w:sz w:val="24"/>
          <w:szCs w:val="24"/>
          <w:u w:val="single"/>
        </w:rPr>
        <w:t>Par rapport aux pays de l’Afrique :</w:t>
      </w:r>
    </w:p>
    <w:p w:rsidR="004E4FDB" w:rsidRPr="006C532E" w:rsidRDefault="004E4FDB" w:rsidP="006C532E">
      <w:pPr>
        <w:ind w:left="360"/>
        <w:jc w:val="both"/>
        <w:rPr>
          <w:rStyle w:val="Titredulivre"/>
          <w:rFonts w:ascii="Candara" w:hAnsi="Candara"/>
          <w:b w:val="0"/>
          <w:bCs w:val="0"/>
          <w:i w:val="0"/>
          <w:iCs w:val="0"/>
          <w:sz w:val="24"/>
          <w:szCs w:val="24"/>
        </w:rPr>
      </w:pPr>
      <w:r w:rsidRPr="006C532E">
        <w:rPr>
          <w:rStyle w:val="Titredulivre"/>
          <w:rFonts w:ascii="Candara" w:hAnsi="Candara"/>
          <w:b w:val="0"/>
          <w:bCs w:val="0"/>
          <w:i w:val="0"/>
          <w:iCs w:val="0"/>
          <w:sz w:val="24"/>
          <w:szCs w:val="24"/>
        </w:rPr>
        <w:lastRenderedPageBreak/>
        <w:t>Depuis 201</w:t>
      </w:r>
      <w:r w:rsidR="006C532E" w:rsidRPr="006C532E">
        <w:rPr>
          <w:rStyle w:val="Titredulivre"/>
          <w:rFonts w:ascii="Candara" w:hAnsi="Candara"/>
          <w:b w:val="0"/>
          <w:bCs w:val="0"/>
          <w:i w:val="0"/>
          <w:iCs w:val="0"/>
          <w:sz w:val="24"/>
          <w:szCs w:val="24"/>
        </w:rPr>
        <w:t>2</w:t>
      </w:r>
      <w:r w:rsidRPr="006C532E">
        <w:rPr>
          <w:rStyle w:val="Titredulivre"/>
          <w:rFonts w:ascii="Candara" w:hAnsi="Candara"/>
          <w:b w:val="0"/>
          <w:bCs w:val="0"/>
          <w:i w:val="0"/>
          <w:iCs w:val="0"/>
          <w:sz w:val="24"/>
          <w:szCs w:val="24"/>
        </w:rPr>
        <w:t>, le Maroc a pu gagner deux rangs au classement par rapport aux pays du continent Africains, en passant du 8</w:t>
      </w:r>
      <w:r w:rsidRPr="006C532E">
        <w:rPr>
          <w:rStyle w:val="Titredulivre"/>
          <w:rFonts w:ascii="Candara" w:hAnsi="Candara"/>
          <w:b w:val="0"/>
          <w:bCs w:val="0"/>
          <w:i w:val="0"/>
          <w:iCs w:val="0"/>
          <w:sz w:val="24"/>
          <w:szCs w:val="24"/>
          <w:vertAlign w:val="superscript"/>
        </w:rPr>
        <w:t>ème</w:t>
      </w:r>
      <w:r w:rsidRPr="006C532E">
        <w:rPr>
          <w:rStyle w:val="Titredulivre"/>
          <w:rFonts w:ascii="Candara" w:hAnsi="Candara"/>
          <w:b w:val="0"/>
          <w:bCs w:val="0"/>
          <w:i w:val="0"/>
          <w:iCs w:val="0"/>
          <w:sz w:val="24"/>
          <w:szCs w:val="24"/>
        </w:rPr>
        <w:t xml:space="preserve"> rang au 6</w:t>
      </w:r>
      <w:r w:rsidRPr="006C532E">
        <w:rPr>
          <w:rStyle w:val="Titredulivre"/>
          <w:rFonts w:ascii="Candara" w:hAnsi="Candara"/>
          <w:b w:val="0"/>
          <w:bCs w:val="0"/>
          <w:i w:val="0"/>
          <w:iCs w:val="0"/>
          <w:sz w:val="24"/>
          <w:szCs w:val="24"/>
          <w:vertAlign w:val="superscript"/>
        </w:rPr>
        <w:t>ème</w:t>
      </w:r>
      <w:r w:rsidRPr="006C532E">
        <w:rPr>
          <w:rStyle w:val="Titredulivre"/>
          <w:rFonts w:ascii="Candara" w:hAnsi="Candara"/>
          <w:b w:val="0"/>
          <w:bCs w:val="0"/>
          <w:i w:val="0"/>
          <w:iCs w:val="0"/>
          <w:sz w:val="24"/>
          <w:szCs w:val="24"/>
        </w:rPr>
        <w:t xml:space="preserve"> , tout en réduisant les écarts le séparant des pays avancés au classement.</w:t>
      </w:r>
    </w:p>
    <w:p w:rsidR="006C532E" w:rsidRPr="006C532E" w:rsidRDefault="006C532E" w:rsidP="004E4FDB">
      <w:pPr>
        <w:ind w:left="360"/>
        <w:jc w:val="both"/>
        <w:rPr>
          <w:rStyle w:val="Titredulivre"/>
          <w:rFonts w:ascii="Candara" w:hAnsi="Candara"/>
          <w:b w:val="0"/>
          <w:bCs w:val="0"/>
          <w:i w:val="0"/>
          <w:iCs w:val="0"/>
          <w:sz w:val="24"/>
          <w:szCs w:val="24"/>
          <w:rtl/>
        </w:rPr>
      </w:pPr>
    </w:p>
    <w:tbl>
      <w:tblPr>
        <w:tblStyle w:val="GridTable2Accent1"/>
        <w:tblW w:w="0" w:type="auto"/>
        <w:tblLook w:val="04A0"/>
      </w:tblPr>
      <w:tblGrid>
        <w:gridCol w:w="1701"/>
        <w:gridCol w:w="1418"/>
        <w:gridCol w:w="2118"/>
        <w:gridCol w:w="236"/>
        <w:gridCol w:w="1757"/>
        <w:gridCol w:w="1842"/>
      </w:tblGrid>
      <w:tr w:rsidR="004E4FDB" w:rsidRPr="006C532E" w:rsidTr="00AA10E7">
        <w:trPr>
          <w:cnfStyle w:val="100000000000"/>
        </w:trPr>
        <w:tc>
          <w:tcPr>
            <w:cnfStyle w:val="001000000000"/>
            <w:tcW w:w="1701" w:type="dxa"/>
            <w:vAlign w:val="center"/>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Pays Afrique</w:t>
            </w:r>
          </w:p>
        </w:tc>
        <w:tc>
          <w:tcPr>
            <w:tcW w:w="1418" w:type="dxa"/>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Rangs</w:t>
            </w:r>
          </w:p>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DB 2012</w:t>
            </w:r>
          </w:p>
        </w:tc>
        <w:tc>
          <w:tcPr>
            <w:tcW w:w="2118" w:type="dxa"/>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Ecarts par rapport au Maroc</w:t>
            </w:r>
          </w:p>
        </w:tc>
        <w:tc>
          <w:tcPr>
            <w:tcW w:w="236" w:type="dxa"/>
          </w:tcPr>
          <w:p w:rsidR="004E4FDB" w:rsidRPr="006C532E" w:rsidRDefault="004E4FDB" w:rsidP="004E4FDB">
            <w:pPr>
              <w:jc w:val="both"/>
              <w:cnfStyle w:val="100000000000"/>
              <w:rPr>
                <w:rFonts w:ascii="Candara" w:hAnsi="Candara" w:cs="Sakkal Majalla"/>
                <w:sz w:val="24"/>
                <w:szCs w:val="24"/>
                <w:lang w:bidi="ar-MA"/>
              </w:rPr>
            </w:pPr>
          </w:p>
        </w:tc>
        <w:tc>
          <w:tcPr>
            <w:tcW w:w="1757" w:type="dxa"/>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Rangs</w:t>
            </w:r>
          </w:p>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DB 2016</w:t>
            </w:r>
          </w:p>
        </w:tc>
        <w:tc>
          <w:tcPr>
            <w:tcW w:w="1842" w:type="dxa"/>
            <w:vAlign w:val="center"/>
          </w:tcPr>
          <w:p w:rsidR="004E4FDB" w:rsidRPr="006C532E" w:rsidRDefault="004E4FDB" w:rsidP="004E4FDB">
            <w:pPr>
              <w:jc w:val="both"/>
              <w:cnfStyle w:val="100000000000"/>
              <w:rPr>
                <w:rFonts w:ascii="Candara" w:hAnsi="Candara" w:cs="Sakkal Majalla"/>
                <w:sz w:val="24"/>
                <w:szCs w:val="24"/>
                <w:lang w:bidi="ar-MA"/>
              </w:rPr>
            </w:pPr>
            <w:r w:rsidRPr="006C532E">
              <w:rPr>
                <w:rFonts w:ascii="Candara" w:hAnsi="Candara" w:cs="Sakkal Majalla"/>
                <w:sz w:val="24"/>
                <w:szCs w:val="24"/>
                <w:lang w:bidi="ar-MA"/>
              </w:rPr>
              <w:t>Ecarts par rapport au Maroc</w:t>
            </w:r>
          </w:p>
        </w:tc>
      </w:tr>
      <w:tr w:rsidR="004E4FDB" w:rsidRPr="006C532E" w:rsidTr="00AA10E7">
        <w:trPr>
          <w:cnfStyle w:val="000000100000"/>
        </w:trPr>
        <w:tc>
          <w:tcPr>
            <w:cnfStyle w:val="001000000000"/>
            <w:tcW w:w="1701" w:type="dxa"/>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Maurice</w:t>
            </w:r>
          </w:p>
        </w:tc>
        <w:tc>
          <w:tcPr>
            <w:tcW w:w="1418"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23</w:t>
            </w:r>
          </w:p>
        </w:tc>
        <w:tc>
          <w:tcPr>
            <w:tcW w:w="2118"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-71</w:t>
            </w:r>
          </w:p>
        </w:tc>
        <w:tc>
          <w:tcPr>
            <w:tcW w:w="236" w:type="dxa"/>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1757"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32</w:t>
            </w:r>
          </w:p>
        </w:tc>
        <w:tc>
          <w:tcPr>
            <w:tcW w:w="1842"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-43</w:t>
            </w:r>
          </w:p>
        </w:tc>
      </w:tr>
      <w:tr w:rsidR="004E4FDB" w:rsidRPr="006C532E" w:rsidTr="00AA10E7">
        <w:tc>
          <w:tcPr>
            <w:cnfStyle w:val="001000000000"/>
            <w:tcW w:w="1701" w:type="dxa"/>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Rwanda</w:t>
            </w:r>
          </w:p>
        </w:tc>
        <w:tc>
          <w:tcPr>
            <w:tcW w:w="1418" w:type="dxa"/>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45</w:t>
            </w:r>
          </w:p>
        </w:tc>
        <w:tc>
          <w:tcPr>
            <w:tcW w:w="2118" w:type="dxa"/>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-49</w:t>
            </w:r>
          </w:p>
        </w:tc>
        <w:tc>
          <w:tcPr>
            <w:tcW w:w="236" w:type="dxa"/>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1757" w:type="dxa"/>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62</w:t>
            </w:r>
          </w:p>
        </w:tc>
        <w:tc>
          <w:tcPr>
            <w:tcW w:w="1842" w:type="dxa"/>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-13</w:t>
            </w:r>
          </w:p>
        </w:tc>
      </w:tr>
      <w:tr w:rsidR="004E4FDB" w:rsidRPr="006C532E" w:rsidTr="00AA10E7">
        <w:trPr>
          <w:cnfStyle w:val="000000100000"/>
        </w:trPr>
        <w:tc>
          <w:tcPr>
            <w:cnfStyle w:val="001000000000"/>
            <w:tcW w:w="1701" w:type="dxa"/>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Botswana</w:t>
            </w:r>
          </w:p>
        </w:tc>
        <w:tc>
          <w:tcPr>
            <w:tcW w:w="1418"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54</w:t>
            </w:r>
          </w:p>
        </w:tc>
        <w:tc>
          <w:tcPr>
            <w:tcW w:w="2118"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-40</w:t>
            </w:r>
          </w:p>
        </w:tc>
        <w:tc>
          <w:tcPr>
            <w:tcW w:w="236" w:type="dxa"/>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1757"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72</w:t>
            </w:r>
          </w:p>
        </w:tc>
        <w:tc>
          <w:tcPr>
            <w:tcW w:w="1842"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-3</w:t>
            </w:r>
          </w:p>
        </w:tc>
      </w:tr>
      <w:tr w:rsidR="004E4FDB" w:rsidRPr="006C532E" w:rsidTr="00AA10E7">
        <w:tc>
          <w:tcPr>
            <w:cnfStyle w:val="001000000000"/>
            <w:tcW w:w="1701" w:type="dxa"/>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Afrique du Sud</w:t>
            </w:r>
          </w:p>
        </w:tc>
        <w:tc>
          <w:tcPr>
            <w:tcW w:w="1418" w:type="dxa"/>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35</w:t>
            </w:r>
          </w:p>
        </w:tc>
        <w:tc>
          <w:tcPr>
            <w:tcW w:w="2118" w:type="dxa"/>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-59</w:t>
            </w:r>
          </w:p>
        </w:tc>
        <w:tc>
          <w:tcPr>
            <w:tcW w:w="236" w:type="dxa"/>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1757" w:type="dxa"/>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73</w:t>
            </w:r>
          </w:p>
        </w:tc>
        <w:tc>
          <w:tcPr>
            <w:tcW w:w="1842" w:type="dxa"/>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-2</w:t>
            </w:r>
          </w:p>
        </w:tc>
      </w:tr>
      <w:tr w:rsidR="004E4FDB" w:rsidRPr="006C532E" w:rsidTr="00AA10E7">
        <w:trPr>
          <w:cnfStyle w:val="000000100000"/>
        </w:trPr>
        <w:tc>
          <w:tcPr>
            <w:cnfStyle w:val="001000000000"/>
            <w:tcW w:w="1701" w:type="dxa"/>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Tunisie</w:t>
            </w:r>
          </w:p>
        </w:tc>
        <w:tc>
          <w:tcPr>
            <w:tcW w:w="1418"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46</w:t>
            </w:r>
          </w:p>
        </w:tc>
        <w:tc>
          <w:tcPr>
            <w:tcW w:w="2118"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-48</w:t>
            </w:r>
          </w:p>
        </w:tc>
        <w:tc>
          <w:tcPr>
            <w:tcW w:w="236" w:type="dxa"/>
            <w:shd w:val="clear" w:color="auto" w:fill="808080" w:themeFill="background1" w:themeFillShade="80"/>
          </w:tcPr>
          <w:p w:rsidR="004E4FDB" w:rsidRPr="006C532E" w:rsidRDefault="004E4FDB" w:rsidP="004E4FDB">
            <w:pPr>
              <w:jc w:val="both"/>
              <w:cnfStyle w:val="000000100000"/>
              <w:rPr>
                <w:rFonts w:ascii="Candara" w:hAnsi="Candara" w:cs="Sakkal Majalla"/>
                <w:b/>
                <w:bCs/>
                <w:color w:val="C00000"/>
                <w:sz w:val="24"/>
                <w:szCs w:val="24"/>
                <w:lang w:bidi="ar-MA"/>
              </w:rPr>
            </w:pPr>
          </w:p>
        </w:tc>
        <w:tc>
          <w:tcPr>
            <w:tcW w:w="1757" w:type="dxa"/>
          </w:tcPr>
          <w:p w:rsidR="004E4FDB" w:rsidRPr="006C532E" w:rsidRDefault="004E4FDB" w:rsidP="004E4FDB">
            <w:pPr>
              <w:jc w:val="both"/>
              <w:cnfStyle w:val="000000100000"/>
              <w:rPr>
                <w:rFonts w:ascii="Candara" w:hAnsi="Candara" w:cs="Sakkal Majalla"/>
                <w:sz w:val="24"/>
                <w:szCs w:val="24"/>
                <w:lang w:bidi="ar-MA"/>
              </w:rPr>
            </w:pPr>
            <w:r w:rsidRPr="006C532E">
              <w:rPr>
                <w:rFonts w:ascii="Candara" w:hAnsi="Candara" w:cs="Sakkal Majalla"/>
                <w:sz w:val="24"/>
                <w:szCs w:val="24"/>
                <w:lang w:bidi="ar-MA"/>
              </w:rPr>
              <w:t>74</w:t>
            </w:r>
          </w:p>
        </w:tc>
        <w:tc>
          <w:tcPr>
            <w:tcW w:w="1842" w:type="dxa"/>
          </w:tcPr>
          <w:p w:rsidR="004E4FDB" w:rsidRPr="006C532E" w:rsidRDefault="004E4FDB" w:rsidP="004E4FDB">
            <w:pPr>
              <w:jc w:val="both"/>
              <w:cnfStyle w:val="0000001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-1</w:t>
            </w:r>
          </w:p>
        </w:tc>
      </w:tr>
      <w:tr w:rsidR="004E4FDB" w:rsidRPr="006C532E" w:rsidTr="00AA10E7">
        <w:tc>
          <w:tcPr>
            <w:cnfStyle w:val="001000000000"/>
            <w:tcW w:w="1701" w:type="dxa"/>
            <w:shd w:val="clear" w:color="auto" w:fill="FFC000" w:themeFill="accent4"/>
          </w:tcPr>
          <w:p w:rsidR="004E4FDB" w:rsidRPr="006C532E" w:rsidRDefault="004E4FDB" w:rsidP="004E4FDB">
            <w:pPr>
              <w:jc w:val="both"/>
              <w:rPr>
                <w:rFonts w:ascii="Candara" w:hAnsi="Candara" w:cs="Sakkal Majalla"/>
                <w:sz w:val="24"/>
                <w:szCs w:val="24"/>
                <w:lang w:bidi="ar-MA"/>
              </w:rPr>
            </w:pPr>
            <w:r w:rsidRPr="006C532E">
              <w:rPr>
                <w:rFonts w:ascii="Candara" w:hAnsi="Candara" w:cs="Sakkal Majalla"/>
                <w:sz w:val="24"/>
                <w:szCs w:val="24"/>
                <w:lang w:bidi="ar-MA"/>
              </w:rPr>
              <w:t>Maroc</w:t>
            </w:r>
          </w:p>
        </w:tc>
        <w:tc>
          <w:tcPr>
            <w:tcW w:w="1418" w:type="dxa"/>
            <w:shd w:val="clear" w:color="auto" w:fill="FFC000" w:themeFill="accent4"/>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94</w:t>
            </w:r>
          </w:p>
        </w:tc>
        <w:tc>
          <w:tcPr>
            <w:tcW w:w="2118" w:type="dxa"/>
            <w:shd w:val="clear" w:color="auto" w:fill="FFC000" w:themeFill="accent4"/>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w:t>
            </w:r>
          </w:p>
        </w:tc>
        <w:tc>
          <w:tcPr>
            <w:tcW w:w="236" w:type="dxa"/>
            <w:shd w:val="clear" w:color="auto" w:fill="808080" w:themeFill="background1" w:themeFillShade="80"/>
          </w:tcPr>
          <w:p w:rsidR="004E4FDB" w:rsidRPr="006C532E" w:rsidRDefault="004E4FDB" w:rsidP="004E4FDB">
            <w:pPr>
              <w:jc w:val="both"/>
              <w:cnfStyle w:val="000000000000"/>
              <w:rPr>
                <w:rFonts w:ascii="Candara" w:hAnsi="Candara" w:cs="Sakkal Majalla"/>
                <w:b/>
                <w:bCs/>
                <w:color w:val="C00000"/>
                <w:sz w:val="24"/>
                <w:szCs w:val="24"/>
                <w:lang w:bidi="ar-MA"/>
              </w:rPr>
            </w:pPr>
          </w:p>
        </w:tc>
        <w:tc>
          <w:tcPr>
            <w:tcW w:w="1757" w:type="dxa"/>
            <w:shd w:val="clear" w:color="auto" w:fill="FFC000" w:themeFill="accent4"/>
          </w:tcPr>
          <w:p w:rsidR="004E4FDB" w:rsidRPr="006C532E" w:rsidRDefault="004E4FDB" w:rsidP="004E4FDB">
            <w:pPr>
              <w:jc w:val="both"/>
              <w:cnfStyle w:val="000000000000"/>
              <w:rPr>
                <w:rFonts w:ascii="Candara" w:hAnsi="Candara" w:cs="Sakkal Majalla"/>
                <w:sz w:val="24"/>
                <w:szCs w:val="24"/>
                <w:lang w:bidi="ar-MA"/>
              </w:rPr>
            </w:pPr>
            <w:r w:rsidRPr="006C532E">
              <w:rPr>
                <w:rFonts w:ascii="Candara" w:hAnsi="Candara" w:cs="Sakkal Majalla"/>
                <w:sz w:val="24"/>
                <w:szCs w:val="24"/>
                <w:lang w:bidi="ar-MA"/>
              </w:rPr>
              <w:t>75</w:t>
            </w:r>
          </w:p>
        </w:tc>
        <w:tc>
          <w:tcPr>
            <w:tcW w:w="1842" w:type="dxa"/>
            <w:shd w:val="clear" w:color="auto" w:fill="FFC000" w:themeFill="accent4"/>
          </w:tcPr>
          <w:p w:rsidR="004E4FDB" w:rsidRPr="006C532E" w:rsidRDefault="004E4FDB" w:rsidP="004E4FDB">
            <w:pPr>
              <w:jc w:val="both"/>
              <w:cnfStyle w:val="000000000000"/>
              <w:rPr>
                <w:rFonts w:ascii="Candara" w:hAnsi="Candara" w:cs="Sakkal Majalla"/>
                <w:b/>
                <w:bCs/>
                <w:color w:val="C00000"/>
                <w:sz w:val="24"/>
                <w:szCs w:val="24"/>
                <w:lang w:bidi="ar-MA"/>
              </w:rPr>
            </w:pPr>
            <w:r w:rsidRPr="006C532E">
              <w:rPr>
                <w:rFonts w:ascii="Candara" w:hAnsi="Candara" w:cs="Sakkal Majalla"/>
                <w:b/>
                <w:bCs/>
                <w:color w:val="C00000"/>
                <w:sz w:val="24"/>
                <w:szCs w:val="24"/>
                <w:lang w:bidi="ar-MA"/>
              </w:rPr>
              <w:t>-</w:t>
            </w:r>
          </w:p>
        </w:tc>
      </w:tr>
    </w:tbl>
    <w:p w:rsidR="004E4FDB" w:rsidRPr="006C532E" w:rsidRDefault="004E4FDB" w:rsidP="004E4FDB">
      <w:pPr>
        <w:pStyle w:val="Paragraphedeliste"/>
        <w:jc w:val="both"/>
        <w:rPr>
          <w:rFonts w:ascii="Candara" w:hAnsi="Candara" w:cstheme="majorBidi"/>
          <w:sz w:val="24"/>
          <w:szCs w:val="24"/>
        </w:rPr>
      </w:pPr>
    </w:p>
    <w:p w:rsidR="006F1B64" w:rsidRPr="006C532E" w:rsidRDefault="006F1B64" w:rsidP="004E4FDB">
      <w:pPr>
        <w:pStyle w:val="Paragraphedeliste"/>
        <w:jc w:val="both"/>
        <w:rPr>
          <w:rFonts w:ascii="Candara" w:hAnsi="Candara" w:cstheme="majorBidi"/>
          <w:sz w:val="24"/>
          <w:szCs w:val="24"/>
        </w:rPr>
      </w:pPr>
    </w:p>
    <w:p w:rsidR="006F1B64" w:rsidRPr="006C532E" w:rsidRDefault="006F1B64" w:rsidP="006C532E">
      <w:pPr>
        <w:pStyle w:val="Paragraphedeliste"/>
        <w:jc w:val="both"/>
        <w:rPr>
          <w:rFonts w:ascii="Candara" w:hAnsi="Candara" w:cstheme="majorBidi"/>
          <w:sz w:val="24"/>
          <w:szCs w:val="24"/>
        </w:rPr>
      </w:pPr>
      <w:r w:rsidRPr="006C532E">
        <w:rPr>
          <w:rFonts w:ascii="Candara" w:hAnsi="Candara" w:cstheme="majorBidi"/>
          <w:sz w:val="24"/>
          <w:szCs w:val="24"/>
        </w:rPr>
        <w:t>Cette évolution positive du Maroc en termes d’amélioration de l’environnement des affaires s’explique par une production continue des réformes dans le cadre des travaux du comité national de l’environnement des affaires (CNEA).</w:t>
      </w:r>
    </w:p>
    <w:p w:rsidR="003E1D3C" w:rsidRPr="006C532E" w:rsidRDefault="006F1B64" w:rsidP="004E4FDB">
      <w:pPr>
        <w:pStyle w:val="Paragraphedeliste"/>
        <w:jc w:val="both"/>
        <w:rPr>
          <w:rFonts w:ascii="Candara" w:hAnsi="Candara" w:cstheme="majorBidi"/>
          <w:sz w:val="24"/>
          <w:szCs w:val="24"/>
        </w:rPr>
      </w:pPr>
      <w:r w:rsidRPr="006C532E">
        <w:rPr>
          <w:rFonts w:ascii="Candara" w:hAnsi="Candara" w:cstheme="majorBidi"/>
          <w:sz w:val="24"/>
          <w:szCs w:val="24"/>
        </w:rPr>
        <w:t xml:space="preserve">En effet, </w:t>
      </w:r>
      <w:r w:rsidR="003E1D3C" w:rsidRPr="006C532E">
        <w:rPr>
          <w:rFonts w:ascii="Candara" w:hAnsi="Candara" w:cstheme="majorBidi"/>
          <w:sz w:val="24"/>
          <w:szCs w:val="24"/>
        </w:rPr>
        <w:t xml:space="preserve">Le Comité National de l’Environnement des Affaires (CNEA) est une plateforme de dialogue public privé mise en place et institutionnalisé par le décret n° 2-10-259 publié au bulletin officiel le 2 Décembre 2010. En vertu du décret, le CNEA a pour mission de proposer au gouvernement les mesures susceptibles d'améliorer l'environnement et le cadre juridique des affaires, d'en coordonner la mise en œuvre et d'en évaluer l'impact sur les secteurs concernés. </w:t>
      </w:r>
    </w:p>
    <w:p w:rsidR="003E1D3C" w:rsidRPr="006C532E" w:rsidRDefault="003E1D3C" w:rsidP="004E4FDB">
      <w:pPr>
        <w:pStyle w:val="Paragraphedeliste"/>
        <w:jc w:val="both"/>
        <w:rPr>
          <w:rFonts w:ascii="Candara" w:hAnsi="Candara" w:cstheme="majorBidi"/>
          <w:sz w:val="24"/>
          <w:szCs w:val="24"/>
        </w:rPr>
      </w:pPr>
      <w:r w:rsidRPr="006C532E">
        <w:rPr>
          <w:rFonts w:ascii="Candara" w:hAnsi="Candara" w:cstheme="majorBidi"/>
          <w:sz w:val="24"/>
          <w:szCs w:val="24"/>
        </w:rPr>
        <w:t>Le CNEA est présidé par le Chef du Gouvernement, et réunit les départements ministériels concernés par les questions relatives à l’environnement des affaires ainsi que le secteur privé rep</w:t>
      </w:r>
      <w:r w:rsidR="002F4DEB" w:rsidRPr="006C532E">
        <w:rPr>
          <w:rFonts w:ascii="Candara" w:hAnsi="Candara" w:cstheme="majorBidi"/>
          <w:sz w:val="24"/>
          <w:szCs w:val="24"/>
        </w:rPr>
        <w:t xml:space="preserve">résenté par la CGEM, le GPBM, </w:t>
      </w:r>
      <w:r w:rsidRPr="006C532E">
        <w:rPr>
          <w:rFonts w:ascii="Candara" w:hAnsi="Candara" w:cstheme="majorBidi"/>
          <w:sz w:val="24"/>
          <w:szCs w:val="24"/>
        </w:rPr>
        <w:t>la Fédération des Chambres de Commerce, d’Industrie et de Services</w:t>
      </w:r>
      <w:r w:rsidR="002F4DEB" w:rsidRPr="006C532E">
        <w:rPr>
          <w:rFonts w:ascii="Candara" w:hAnsi="Candara" w:cstheme="majorBidi"/>
          <w:sz w:val="24"/>
          <w:szCs w:val="24"/>
        </w:rPr>
        <w:t>, et autres organisations publiques et privées</w:t>
      </w:r>
      <w:r w:rsidRPr="006C532E">
        <w:rPr>
          <w:rFonts w:ascii="Candara" w:hAnsi="Candara" w:cstheme="majorBidi"/>
          <w:sz w:val="24"/>
          <w:szCs w:val="24"/>
        </w:rPr>
        <w:t>.</w:t>
      </w:r>
    </w:p>
    <w:p w:rsidR="003E1D3C" w:rsidRPr="006C532E" w:rsidRDefault="003E1D3C" w:rsidP="004E4FDB">
      <w:pPr>
        <w:pStyle w:val="Paragraphedeliste"/>
        <w:jc w:val="both"/>
        <w:rPr>
          <w:rFonts w:ascii="Candara" w:hAnsi="Candara" w:cstheme="majorBidi"/>
          <w:sz w:val="24"/>
          <w:szCs w:val="24"/>
        </w:rPr>
      </w:pPr>
      <w:r w:rsidRPr="006C532E">
        <w:rPr>
          <w:rFonts w:ascii="Candara" w:hAnsi="Candara" w:cstheme="majorBidi"/>
          <w:sz w:val="24"/>
          <w:szCs w:val="24"/>
        </w:rPr>
        <w:t>L’approche participative</w:t>
      </w:r>
      <w:r w:rsidR="002F4DEB" w:rsidRPr="006C532E">
        <w:rPr>
          <w:rFonts w:ascii="Candara" w:hAnsi="Candara" w:cstheme="majorBidi"/>
          <w:sz w:val="24"/>
          <w:szCs w:val="24"/>
        </w:rPr>
        <w:t xml:space="preserve"> adoptée par le CNEA et la </w:t>
      </w:r>
      <w:r w:rsidRPr="006C532E">
        <w:rPr>
          <w:rFonts w:ascii="Candara" w:hAnsi="Candara" w:cstheme="majorBidi"/>
          <w:sz w:val="24"/>
          <w:szCs w:val="24"/>
        </w:rPr>
        <w:t xml:space="preserve">mobilisation de ses membres ont </w:t>
      </w:r>
      <w:r w:rsidR="002F4DEB" w:rsidRPr="006C532E">
        <w:rPr>
          <w:rFonts w:ascii="Candara" w:hAnsi="Candara" w:cstheme="majorBidi"/>
          <w:sz w:val="24"/>
          <w:szCs w:val="24"/>
        </w:rPr>
        <w:t>joué</w:t>
      </w:r>
      <w:r w:rsidRPr="006C532E">
        <w:rPr>
          <w:rFonts w:ascii="Candara" w:hAnsi="Candara" w:cstheme="majorBidi"/>
          <w:sz w:val="24"/>
          <w:szCs w:val="24"/>
        </w:rPr>
        <w:t xml:space="preserve"> </w:t>
      </w:r>
      <w:r w:rsidR="002F4DEB" w:rsidRPr="006C532E">
        <w:rPr>
          <w:rFonts w:ascii="Candara" w:hAnsi="Candara" w:cstheme="majorBidi"/>
          <w:sz w:val="24"/>
          <w:szCs w:val="24"/>
        </w:rPr>
        <w:t>un rôle important dans l</w:t>
      </w:r>
      <w:r w:rsidRPr="006C532E">
        <w:rPr>
          <w:rFonts w:ascii="Candara" w:hAnsi="Candara" w:cstheme="majorBidi"/>
          <w:sz w:val="24"/>
          <w:szCs w:val="24"/>
        </w:rPr>
        <w:t>’identifi</w:t>
      </w:r>
      <w:r w:rsidR="002F4DEB" w:rsidRPr="006C532E">
        <w:rPr>
          <w:rFonts w:ascii="Candara" w:hAnsi="Candara" w:cstheme="majorBidi"/>
          <w:sz w:val="24"/>
          <w:szCs w:val="24"/>
        </w:rPr>
        <w:t>cation</w:t>
      </w:r>
      <w:r w:rsidRPr="006C532E">
        <w:rPr>
          <w:rFonts w:ascii="Candara" w:hAnsi="Candara" w:cstheme="majorBidi"/>
          <w:sz w:val="24"/>
          <w:szCs w:val="24"/>
        </w:rPr>
        <w:t xml:space="preserve"> </w:t>
      </w:r>
      <w:r w:rsidR="002F4DEB" w:rsidRPr="006C532E">
        <w:rPr>
          <w:rFonts w:ascii="Candara" w:hAnsi="Candara" w:cstheme="majorBidi"/>
          <w:sz w:val="24"/>
          <w:szCs w:val="24"/>
        </w:rPr>
        <w:t>et la priorisation d</w:t>
      </w:r>
      <w:r w:rsidRPr="006C532E">
        <w:rPr>
          <w:rFonts w:ascii="Candara" w:hAnsi="Candara" w:cstheme="majorBidi"/>
          <w:sz w:val="24"/>
          <w:szCs w:val="24"/>
        </w:rPr>
        <w:t xml:space="preserve">es réformes </w:t>
      </w:r>
      <w:r w:rsidR="002F4DEB" w:rsidRPr="006C532E">
        <w:rPr>
          <w:rFonts w:ascii="Candara" w:hAnsi="Candara" w:cstheme="majorBidi"/>
          <w:sz w:val="24"/>
          <w:szCs w:val="24"/>
        </w:rPr>
        <w:t>à mener</w:t>
      </w:r>
      <w:r w:rsidRPr="006C532E">
        <w:rPr>
          <w:rFonts w:ascii="Candara" w:hAnsi="Candara" w:cstheme="majorBidi"/>
          <w:sz w:val="24"/>
          <w:szCs w:val="24"/>
        </w:rPr>
        <w:t xml:space="preserve">. </w:t>
      </w:r>
    </w:p>
    <w:p w:rsidR="006F1B64" w:rsidRPr="006C532E" w:rsidRDefault="003E1D3C" w:rsidP="004E4FDB">
      <w:pPr>
        <w:pStyle w:val="Paragraphedeliste"/>
        <w:jc w:val="both"/>
        <w:rPr>
          <w:rFonts w:ascii="Candara" w:hAnsi="Candara" w:cstheme="majorBidi"/>
          <w:sz w:val="24"/>
          <w:szCs w:val="24"/>
        </w:rPr>
      </w:pPr>
      <w:r w:rsidRPr="006C532E">
        <w:rPr>
          <w:rFonts w:ascii="Candara" w:hAnsi="Candara" w:cstheme="majorBidi"/>
          <w:sz w:val="24"/>
          <w:szCs w:val="24"/>
        </w:rPr>
        <w:t xml:space="preserve">Cette plateforme est assistée </w:t>
      </w:r>
      <w:r w:rsidR="002F4DEB" w:rsidRPr="006C532E">
        <w:rPr>
          <w:rFonts w:ascii="Candara" w:hAnsi="Candara" w:cstheme="majorBidi"/>
          <w:sz w:val="24"/>
          <w:szCs w:val="24"/>
        </w:rPr>
        <w:t>par</w:t>
      </w:r>
      <w:r w:rsidRPr="006C532E">
        <w:rPr>
          <w:rFonts w:ascii="Candara" w:hAnsi="Candara" w:cstheme="majorBidi"/>
          <w:sz w:val="24"/>
          <w:szCs w:val="24"/>
        </w:rPr>
        <w:t xml:space="preserve"> un secrétariat </w:t>
      </w:r>
      <w:r w:rsidR="002F4DEB" w:rsidRPr="006C532E">
        <w:rPr>
          <w:rFonts w:ascii="Candara" w:hAnsi="Candara" w:cstheme="majorBidi"/>
          <w:sz w:val="24"/>
          <w:szCs w:val="24"/>
        </w:rPr>
        <w:t xml:space="preserve">permanent qui dépend des Services du Chef du Gouvernement et </w:t>
      </w:r>
      <w:r w:rsidRPr="006C532E">
        <w:rPr>
          <w:rFonts w:ascii="Candara" w:hAnsi="Candara" w:cstheme="majorBidi"/>
          <w:sz w:val="24"/>
          <w:szCs w:val="24"/>
        </w:rPr>
        <w:t xml:space="preserve">qui assurent la coordination </w:t>
      </w:r>
      <w:r w:rsidR="001E4866" w:rsidRPr="006C532E">
        <w:rPr>
          <w:rFonts w:ascii="Candara" w:hAnsi="Candara" w:cstheme="majorBidi"/>
          <w:sz w:val="24"/>
          <w:szCs w:val="24"/>
        </w:rPr>
        <w:t xml:space="preserve">et le suivi </w:t>
      </w:r>
      <w:r w:rsidRPr="006C532E">
        <w:rPr>
          <w:rFonts w:ascii="Candara" w:hAnsi="Candara" w:cstheme="majorBidi"/>
          <w:sz w:val="24"/>
          <w:szCs w:val="24"/>
        </w:rPr>
        <w:t>de l’ensemble de ses travaux.</w:t>
      </w:r>
    </w:p>
    <w:p w:rsidR="00964323" w:rsidRPr="006C532E" w:rsidRDefault="001E2A98" w:rsidP="004E4FDB">
      <w:pPr>
        <w:pStyle w:val="Paragraphedeliste"/>
        <w:jc w:val="both"/>
        <w:rPr>
          <w:rFonts w:ascii="Candara" w:hAnsi="Candara"/>
          <w:sz w:val="24"/>
          <w:szCs w:val="24"/>
        </w:rPr>
      </w:pPr>
      <w:r w:rsidRPr="006C532E">
        <w:rPr>
          <w:rFonts w:ascii="Candara" w:hAnsi="Candara" w:cstheme="majorBidi"/>
          <w:sz w:val="24"/>
          <w:szCs w:val="24"/>
        </w:rPr>
        <w:t xml:space="preserve">Sur les quatre dernières années et </w:t>
      </w:r>
      <w:r w:rsidR="00CB1A76" w:rsidRPr="006C532E">
        <w:rPr>
          <w:rFonts w:ascii="Candara" w:hAnsi="Candara" w:cstheme="majorBidi"/>
          <w:sz w:val="24"/>
          <w:szCs w:val="24"/>
        </w:rPr>
        <w:t xml:space="preserve">grâce aux projets de réformes </w:t>
      </w:r>
      <w:r w:rsidR="00416687" w:rsidRPr="006C532E">
        <w:rPr>
          <w:rFonts w:ascii="Candara" w:hAnsi="Candara" w:cstheme="majorBidi"/>
          <w:sz w:val="24"/>
          <w:szCs w:val="24"/>
        </w:rPr>
        <w:t xml:space="preserve">menés dans le cadre du </w:t>
      </w:r>
      <w:r w:rsidRPr="006C532E">
        <w:rPr>
          <w:rFonts w:ascii="Candara" w:hAnsi="Candara" w:cstheme="majorBidi"/>
          <w:sz w:val="24"/>
          <w:szCs w:val="24"/>
        </w:rPr>
        <w:t>CNEA</w:t>
      </w:r>
      <w:r w:rsidR="00964323" w:rsidRPr="006C532E">
        <w:rPr>
          <w:rFonts w:ascii="Candara" w:hAnsi="Candara" w:cstheme="majorBidi"/>
          <w:sz w:val="24"/>
          <w:szCs w:val="24"/>
        </w:rPr>
        <w:t xml:space="preserve">, le Maroc a pu améliorer son classement de </w:t>
      </w:r>
      <w:r w:rsidRPr="006C532E">
        <w:rPr>
          <w:rFonts w:ascii="Candara" w:hAnsi="Candara" w:cstheme="majorBidi"/>
          <w:b/>
          <w:bCs/>
          <w:sz w:val="24"/>
          <w:szCs w:val="24"/>
        </w:rPr>
        <w:t>29</w:t>
      </w:r>
      <w:r w:rsidR="00964323" w:rsidRPr="006C532E">
        <w:rPr>
          <w:rFonts w:ascii="Candara" w:hAnsi="Candara" w:cstheme="majorBidi"/>
          <w:b/>
          <w:bCs/>
          <w:sz w:val="24"/>
          <w:szCs w:val="24"/>
        </w:rPr>
        <w:t xml:space="preserve"> places</w:t>
      </w:r>
      <w:r w:rsidR="00964323" w:rsidRPr="006C532E">
        <w:rPr>
          <w:rFonts w:ascii="Candara" w:hAnsi="Candara" w:cstheme="majorBidi"/>
          <w:sz w:val="24"/>
          <w:szCs w:val="24"/>
        </w:rPr>
        <w:t xml:space="preserve"> en passant du </w:t>
      </w:r>
      <w:r w:rsidRPr="006C532E">
        <w:rPr>
          <w:rFonts w:ascii="Candara" w:hAnsi="Candara" w:cstheme="majorBidi"/>
          <w:sz w:val="24"/>
          <w:szCs w:val="24"/>
        </w:rPr>
        <w:t>94</w:t>
      </w:r>
      <w:r w:rsidR="00964323" w:rsidRPr="006C532E">
        <w:rPr>
          <w:rFonts w:ascii="Candara" w:hAnsi="Candara" w:cstheme="majorBidi"/>
          <w:sz w:val="24"/>
          <w:szCs w:val="24"/>
        </w:rPr>
        <w:t xml:space="preserve">ème </w:t>
      </w:r>
      <w:r w:rsidR="001E4866" w:rsidRPr="006C532E">
        <w:rPr>
          <w:rFonts w:ascii="Candara" w:hAnsi="Candara" w:cstheme="majorBidi"/>
          <w:sz w:val="24"/>
          <w:szCs w:val="24"/>
        </w:rPr>
        <w:t xml:space="preserve">(rapport </w:t>
      </w:r>
      <w:proofErr w:type="spellStart"/>
      <w:r w:rsidR="001E4866" w:rsidRPr="006C532E">
        <w:rPr>
          <w:rFonts w:ascii="Candara" w:hAnsi="Candara" w:cstheme="majorBidi"/>
          <w:sz w:val="24"/>
          <w:szCs w:val="24"/>
        </w:rPr>
        <w:t>Doing</w:t>
      </w:r>
      <w:proofErr w:type="spellEnd"/>
      <w:r w:rsidR="001E4866" w:rsidRPr="006C532E">
        <w:rPr>
          <w:rFonts w:ascii="Candara" w:hAnsi="Candara" w:cstheme="majorBidi"/>
          <w:sz w:val="24"/>
          <w:szCs w:val="24"/>
        </w:rPr>
        <w:t xml:space="preserve"> Business 201</w:t>
      </w:r>
      <w:r w:rsidRPr="006C532E">
        <w:rPr>
          <w:rFonts w:ascii="Candara" w:hAnsi="Candara" w:cstheme="majorBidi"/>
          <w:sz w:val="24"/>
          <w:szCs w:val="24"/>
        </w:rPr>
        <w:t>2</w:t>
      </w:r>
      <w:r w:rsidR="001E4866" w:rsidRPr="006C532E">
        <w:rPr>
          <w:rFonts w:ascii="Candara" w:hAnsi="Candara" w:cstheme="majorBidi"/>
          <w:sz w:val="24"/>
          <w:szCs w:val="24"/>
        </w:rPr>
        <w:t xml:space="preserve">) </w:t>
      </w:r>
      <w:r w:rsidR="00964323" w:rsidRPr="006C532E">
        <w:rPr>
          <w:rFonts w:ascii="Candara" w:hAnsi="Candara" w:cstheme="majorBidi"/>
          <w:sz w:val="24"/>
          <w:szCs w:val="24"/>
        </w:rPr>
        <w:t>au 7</w:t>
      </w:r>
      <w:r w:rsidR="007816D9" w:rsidRPr="006C532E">
        <w:rPr>
          <w:rFonts w:ascii="Candara" w:hAnsi="Candara" w:cstheme="majorBidi"/>
          <w:sz w:val="24"/>
          <w:szCs w:val="24"/>
        </w:rPr>
        <w:t>5</w:t>
      </w:r>
      <w:r w:rsidR="00964323" w:rsidRPr="006C532E">
        <w:rPr>
          <w:rFonts w:ascii="Candara" w:hAnsi="Candara" w:cstheme="majorBidi"/>
          <w:sz w:val="24"/>
          <w:szCs w:val="24"/>
        </w:rPr>
        <w:t xml:space="preserve">ème rang </w:t>
      </w:r>
      <w:r w:rsidR="001E4866" w:rsidRPr="006C532E">
        <w:rPr>
          <w:rFonts w:ascii="Candara" w:hAnsi="Candara" w:cstheme="majorBidi"/>
          <w:sz w:val="24"/>
          <w:szCs w:val="24"/>
        </w:rPr>
        <w:t xml:space="preserve">actuellement </w:t>
      </w:r>
      <w:r w:rsidR="00964323" w:rsidRPr="006C532E">
        <w:rPr>
          <w:rFonts w:ascii="Candara" w:hAnsi="Candara" w:cstheme="majorBidi"/>
          <w:sz w:val="24"/>
          <w:szCs w:val="24"/>
        </w:rPr>
        <w:t xml:space="preserve">sur 189 économies que compte le rapport </w:t>
      </w:r>
      <w:proofErr w:type="spellStart"/>
      <w:r w:rsidR="00964323" w:rsidRPr="006C532E">
        <w:rPr>
          <w:rFonts w:ascii="Candara" w:hAnsi="Candara" w:cstheme="majorBidi"/>
          <w:sz w:val="24"/>
          <w:szCs w:val="24"/>
        </w:rPr>
        <w:t>Doing</w:t>
      </w:r>
      <w:proofErr w:type="spellEnd"/>
      <w:r w:rsidR="00964323" w:rsidRPr="006C532E">
        <w:rPr>
          <w:rFonts w:ascii="Candara" w:hAnsi="Candara" w:cstheme="majorBidi"/>
          <w:sz w:val="24"/>
          <w:szCs w:val="24"/>
        </w:rPr>
        <w:t xml:space="preserve"> Business. De plus, le Maroc reste le seul </w:t>
      </w:r>
      <w:r w:rsidR="00964323" w:rsidRPr="006C532E">
        <w:rPr>
          <w:rFonts w:ascii="Candara" w:hAnsi="Candara" w:cstheme="majorBidi"/>
          <w:sz w:val="24"/>
          <w:szCs w:val="24"/>
        </w:rPr>
        <w:lastRenderedPageBreak/>
        <w:t xml:space="preserve">pays de la région qui arrive à assurer une évolution positive et régulière de son classement </w:t>
      </w:r>
      <w:r w:rsidR="001E4866" w:rsidRPr="006C532E">
        <w:rPr>
          <w:rFonts w:ascii="Candara" w:hAnsi="Candara" w:cstheme="majorBidi"/>
          <w:sz w:val="24"/>
          <w:szCs w:val="24"/>
        </w:rPr>
        <w:t>dans</w:t>
      </w:r>
      <w:r w:rsidR="00964323" w:rsidRPr="006C532E">
        <w:rPr>
          <w:rFonts w:ascii="Candara" w:hAnsi="Candara" w:cstheme="majorBidi"/>
          <w:sz w:val="24"/>
          <w:szCs w:val="24"/>
        </w:rPr>
        <w:t xml:space="preserve"> </w:t>
      </w:r>
      <w:r w:rsidR="001E4866" w:rsidRPr="006C532E">
        <w:rPr>
          <w:rFonts w:ascii="Candara" w:hAnsi="Candara" w:cstheme="majorBidi"/>
          <w:sz w:val="24"/>
          <w:szCs w:val="24"/>
        </w:rPr>
        <w:t>les dernières éditions du rapport en question</w:t>
      </w:r>
      <w:r w:rsidR="00964323" w:rsidRPr="006C532E">
        <w:rPr>
          <w:rFonts w:ascii="Candara" w:hAnsi="Candara" w:cstheme="majorBidi"/>
          <w:sz w:val="24"/>
          <w:szCs w:val="24"/>
        </w:rPr>
        <w:t>.</w:t>
      </w:r>
    </w:p>
    <w:p w:rsidR="00964323" w:rsidRPr="006C532E" w:rsidRDefault="00964323" w:rsidP="004E4FDB">
      <w:pPr>
        <w:pStyle w:val="Paragraphedeliste"/>
        <w:jc w:val="both"/>
        <w:rPr>
          <w:rFonts w:ascii="Candara" w:hAnsi="Candara"/>
          <w:sz w:val="24"/>
          <w:szCs w:val="24"/>
        </w:rPr>
      </w:pPr>
    </w:p>
    <w:p w:rsidR="001E4866" w:rsidRPr="006C532E" w:rsidRDefault="00416687" w:rsidP="004E4FDB">
      <w:pPr>
        <w:pStyle w:val="Paragraphedeliste"/>
        <w:jc w:val="both"/>
        <w:rPr>
          <w:rFonts w:ascii="Candara" w:hAnsi="Candara"/>
          <w:sz w:val="24"/>
          <w:szCs w:val="24"/>
        </w:rPr>
      </w:pPr>
      <w:r w:rsidRPr="006C532E">
        <w:rPr>
          <w:rFonts w:ascii="Candara" w:hAnsi="Candara"/>
          <w:sz w:val="24"/>
          <w:szCs w:val="24"/>
        </w:rPr>
        <w:t>Une analyse détaillée par indicateur que compte le rapport sur la période 2012-2016 permet de mieux apprécier les bonnes performances réalisées par le Maroc.</w:t>
      </w:r>
    </w:p>
    <w:p w:rsidR="006C532E" w:rsidRPr="006C532E" w:rsidRDefault="006C532E" w:rsidP="004E4FDB">
      <w:pPr>
        <w:pStyle w:val="Paragraphedeliste"/>
        <w:jc w:val="both"/>
        <w:rPr>
          <w:rFonts w:ascii="Candara" w:hAnsi="Candara"/>
          <w:sz w:val="24"/>
          <w:szCs w:val="24"/>
        </w:rPr>
      </w:pPr>
    </w:p>
    <w:p w:rsidR="006C532E" w:rsidRPr="006C532E" w:rsidRDefault="006C532E" w:rsidP="004E4FDB">
      <w:pPr>
        <w:pStyle w:val="Paragraphedeliste"/>
        <w:jc w:val="both"/>
        <w:rPr>
          <w:rFonts w:ascii="Candara" w:hAnsi="Candara"/>
          <w:sz w:val="24"/>
          <w:szCs w:val="24"/>
        </w:rPr>
      </w:pPr>
    </w:p>
    <w:p w:rsidR="006C532E" w:rsidRPr="006C532E" w:rsidRDefault="006C532E" w:rsidP="004E4FDB">
      <w:pPr>
        <w:pStyle w:val="Paragraphedeliste"/>
        <w:jc w:val="both"/>
        <w:rPr>
          <w:rFonts w:ascii="Candara" w:hAnsi="Candara"/>
          <w:sz w:val="24"/>
          <w:szCs w:val="24"/>
        </w:rPr>
      </w:pPr>
    </w:p>
    <w:p w:rsidR="006C532E" w:rsidRPr="006C532E" w:rsidRDefault="006C532E" w:rsidP="004E4FDB">
      <w:pPr>
        <w:pStyle w:val="Paragraphedeliste"/>
        <w:jc w:val="both"/>
        <w:rPr>
          <w:rFonts w:ascii="Candara" w:hAnsi="Candara"/>
          <w:sz w:val="24"/>
          <w:szCs w:val="24"/>
        </w:rPr>
      </w:pPr>
    </w:p>
    <w:p w:rsidR="00F62587" w:rsidRPr="006C532E" w:rsidRDefault="00F62587" w:rsidP="004E4FDB">
      <w:pPr>
        <w:spacing w:before="120" w:after="120" w:line="240" w:lineRule="auto"/>
        <w:ind w:firstLine="708"/>
        <w:jc w:val="both"/>
        <w:rPr>
          <w:rFonts w:ascii="Candara" w:hAnsi="Candara" w:cs="Segoe UI Semilight"/>
          <w:b/>
          <w:bCs/>
          <w:sz w:val="24"/>
          <w:szCs w:val="24"/>
        </w:rPr>
      </w:pPr>
      <w:r w:rsidRPr="006C532E">
        <w:rPr>
          <w:rFonts w:ascii="Candara" w:hAnsi="Candara" w:cs="Segoe UI Semilight"/>
          <w:b/>
          <w:bCs/>
          <w:sz w:val="24"/>
          <w:szCs w:val="24"/>
        </w:rPr>
        <w:t xml:space="preserve">Les dix domaines de la réglementation du </w:t>
      </w:r>
      <w:proofErr w:type="spellStart"/>
      <w:r w:rsidRPr="006C532E">
        <w:rPr>
          <w:rFonts w:ascii="Candara" w:hAnsi="Candara" w:cs="Segoe UI Semilight"/>
          <w:b/>
          <w:bCs/>
          <w:sz w:val="24"/>
          <w:szCs w:val="24"/>
        </w:rPr>
        <w:t>Doing</w:t>
      </w:r>
      <w:proofErr w:type="spellEnd"/>
      <w:r w:rsidRPr="006C532E">
        <w:rPr>
          <w:rFonts w:ascii="Candara" w:hAnsi="Candara" w:cs="Segoe UI Semilight"/>
          <w:b/>
          <w:bCs/>
          <w:sz w:val="24"/>
          <w:szCs w:val="24"/>
        </w:rPr>
        <w:t xml:space="preserve"> Business 201</w:t>
      </w:r>
      <w:r w:rsidR="003B134F" w:rsidRPr="006C532E">
        <w:rPr>
          <w:rFonts w:ascii="Candara" w:hAnsi="Candara" w:cs="Segoe UI Semilight"/>
          <w:b/>
          <w:bCs/>
          <w:sz w:val="24"/>
          <w:szCs w:val="24"/>
        </w:rPr>
        <w:t>6</w:t>
      </w:r>
      <w:r w:rsidRPr="006C532E">
        <w:rPr>
          <w:rFonts w:ascii="Candara" w:hAnsi="Candara" w:cs="Segoe UI Semilight"/>
          <w:b/>
          <w:bCs/>
          <w:sz w:val="24"/>
          <w:szCs w:val="24"/>
        </w:rPr>
        <w:t xml:space="preserve"> sont comme suit :</w:t>
      </w:r>
    </w:p>
    <w:p w:rsidR="00F62587" w:rsidRPr="006C532E" w:rsidRDefault="00F62587" w:rsidP="004E4FDB">
      <w:pPr>
        <w:tabs>
          <w:tab w:val="left" w:pos="1560"/>
        </w:tabs>
        <w:spacing w:before="120" w:after="120" w:line="240" w:lineRule="auto"/>
        <w:ind w:left="142" w:hanging="568"/>
        <w:jc w:val="both"/>
        <w:rPr>
          <w:rFonts w:ascii="Candara" w:hAnsi="Candara" w:cs="Calibri"/>
          <w:b/>
          <w:bCs/>
          <w:sz w:val="24"/>
          <w:szCs w:val="24"/>
        </w:rPr>
      </w:pPr>
      <w:r w:rsidRPr="006C532E">
        <w:rPr>
          <w:rFonts w:ascii="Candara" w:hAnsi="Candara" w:cs="Calibri"/>
          <w:noProof/>
          <w:sz w:val="24"/>
          <w:szCs w:val="24"/>
          <w:lang w:eastAsia="fr-FR"/>
        </w:rPr>
        <w:drawing>
          <wp:inline distT="0" distB="0" distL="0" distR="0">
            <wp:extent cx="6089301" cy="3426488"/>
            <wp:effectExtent l="0" t="76200" r="0" b="97762"/>
            <wp:docPr id="46" name="Diagramme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62587" w:rsidRPr="006C532E" w:rsidRDefault="00F62587" w:rsidP="004E4FDB">
      <w:pPr>
        <w:tabs>
          <w:tab w:val="left" w:pos="1560"/>
        </w:tabs>
        <w:spacing w:before="120" w:after="120" w:line="240" w:lineRule="auto"/>
        <w:ind w:left="142" w:hanging="568"/>
        <w:jc w:val="both"/>
        <w:rPr>
          <w:rFonts w:ascii="Candara" w:hAnsi="Candara" w:cs="Calibri"/>
          <w:b/>
          <w:bCs/>
          <w:sz w:val="24"/>
          <w:szCs w:val="24"/>
        </w:rPr>
      </w:pPr>
    </w:p>
    <w:tbl>
      <w:tblPr>
        <w:tblStyle w:val="GridTable1LightAccent5"/>
        <w:tblW w:w="9492" w:type="dxa"/>
        <w:tblLook w:val="04A0"/>
      </w:tblPr>
      <w:tblGrid>
        <w:gridCol w:w="3681"/>
        <w:gridCol w:w="2265"/>
        <w:gridCol w:w="2266"/>
        <w:gridCol w:w="1280"/>
      </w:tblGrid>
      <w:tr w:rsidR="00416687" w:rsidRPr="006C532E" w:rsidTr="00E5663A">
        <w:trPr>
          <w:cnfStyle w:val="100000000000"/>
        </w:trPr>
        <w:tc>
          <w:tcPr>
            <w:cnfStyle w:val="001000000000"/>
            <w:tcW w:w="3681" w:type="dxa"/>
          </w:tcPr>
          <w:p w:rsidR="00416687" w:rsidRPr="006C532E" w:rsidRDefault="00416687" w:rsidP="004E4FDB">
            <w:pPr>
              <w:jc w:val="both"/>
              <w:rPr>
                <w:rFonts w:ascii="Candara" w:hAnsi="Candara"/>
                <w:sz w:val="24"/>
                <w:szCs w:val="24"/>
              </w:rPr>
            </w:pPr>
            <w:r w:rsidRPr="006C532E">
              <w:rPr>
                <w:rFonts w:ascii="Candara" w:hAnsi="Candara"/>
                <w:sz w:val="24"/>
                <w:szCs w:val="24"/>
              </w:rPr>
              <w:t>Indicateurs</w:t>
            </w:r>
          </w:p>
        </w:tc>
        <w:tc>
          <w:tcPr>
            <w:tcW w:w="2265" w:type="dxa"/>
          </w:tcPr>
          <w:p w:rsidR="00416687" w:rsidRPr="006C532E" w:rsidRDefault="00416687" w:rsidP="004E4FDB">
            <w:pPr>
              <w:jc w:val="both"/>
              <w:cnfStyle w:val="100000000000"/>
              <w:rPr>
                <w:rFonts w:ascii="Candara" w:hAnsi="Candara"/>
                <w:sz w:val="24"/>
                <w:szCs w:val="24"/>
              </w:rPr>
            </w:pPr>
            <w:r w:rsidRPr="006C532E">
              <w:rPr>
                <w:rFonts w:ascii="Candara" w:hAnsi="Candara"/>
                <w:sz w:val="24"/>
                <w:szCs w:val="24"/>
              </w:rPr>
              <w:t xml:space="preserve">Classement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2012</w:t>
            </w:r>
          </w:p>
        </w:tc>
        <w:tc>
          <w:tcPr>
            <w:tcW w:w="2266" w:type="dxa"/>
          </w:tcPr>
          <w:p w:rsidR="00416687" w:rsidRPr="006C532E" w:rsidRDefault="00416687" w:rsidP="004E4FDB">
            <w:pPr>
              <w:jc w:val="both"/>
              <w:cnfStyle w:val="100000000000"/>
              <w:rPr>
                <w:rFonts w:ascii="Candara" w:hAnsi="Candara"/>
                <w:sz w:val="24"/>
                <w:szCs w:val="24"/>
              </w:rPr>
            </w:pPr>
            <w:r w:rsidRPr="006C532E">
              <w:rPr>
                <w:rFonts w:ascii="Candara" w:hAnsi="Candara"/>
                <w:sz w:val="24"/>
                <w:szCs w:val="24"/>
              </w:rPr>
              <w:t xml:space="preserve">Classement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2016</w:t>
            </w:r>
          </w:p>
        </w:tc>
        <w:tc>
          <w:tcPr>
            <w:tcW w:w="1280" w:type="dxa"/>
          </w:tcPr>
          <w:p w:rsidR="00416687" w:rsidRPr="006C532E" w:rsidRDefault="00416687" w:rsidP="004E4FDB">
            <w:pPr>
              <w:jc w:val="both"/>
              <w:cnfStyle w:val="100000000000"/>
              <w:rPr>
                <w:rFonts w:ascii="Candara" w:hAnsi="Candara"/>
                <w:sz w:val="24"/>
                <w:szCs w:val="24"/>
              </w:rPr>
            </w:pPr>
            <w:r w:rsidRPr="006C532E">
              <w:rPr>
                <w:rFonts w:ascii="Candara" w:hAnsi="Candara"/>
                <w:sz w:val="24"/>
                <w:szCs w:val="24"/>
              </w:rPr>
              <w:t>Variation</w:t>
            </w:r>
          </w:p>
        </w:tc>
      </w:tr>
      <w:tr w:rsidR="00416687" w:rsidRPr="006C532E" w:rsidTr="00E5663A">
        <w:tc>
          <w:tcPr>
            <w:cnfStyle w:val="001000000000"/>
            <w:tcW w:w="3681" w:type="dxa"/>
          </w:tcPr>
          <w:p w:rsidR="00416687" w:rsidRPr="006C532E" w:rsidRDefault="00416687" w:rsidP="004E4FDB">
            <w:pPr>
              <w:pStyle w:val="Paragraphedeliste"/>
              <w:numPr>
                <w:ilvl w:val="0"/>
                <w:numId w:val="10"/>
              </w:numPr>
              <w:jc w:val="both"/>
              <w:rPr>
                <w:rFonts w:ascii="Candara" w:hAnsi="Candara"/>
                <w:sz w:val="24"/>
                <w:szCs w:val="24"/>
              </w:rPr>
            </w:pPr>
            <w:r w:rsidRPr="006C532E">
              <w:rPr>
                <w:rFonts w:ascii="Candara" w:hAnsi="Candara"/>
                <w:sz w:val="24"/>
                <w:szCs w:val="24"/>
              </w:rPr>
              <w:t>Création d’entreprise</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93</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43</w:t>
            </w:r>
          </w:p>
        </w:tc>
        <w:tc>
          <w:tcPr>
            <w:tcW w:w="1280" w:type="dxa"/>
          </w:tcPr>
          <w:p w:rsidR="00416687" w:rsidRPr="006C532E" w:rsidRDefault="00416687" w:rsidP="004E4FDB">
            <w:pPr>
              <w:jc w:val="both"/>
              <w:cnfStyle w:val="000000000000"/>
              <w:rPr>
                <w:rFonts w:ascii="Candara" w:hAnsi="Candara"/>
                <w:b/>
                <w:bCs/>
                <w:sz w:val="24"/>
                <w:szCs w:val="24"/>
              </w:rPr>
            </w:pPr>
            <w:r w:rsidRPr="006C532E">
              <w:rPr>
                <w:rFonts w:ascii="Candara" w:hAnsi="Candara"/>
                <w:b/>
                <w:bCs/>
                <w:color w:val="00B050"/>
                <w:sz w:val="24"/>
                <w:szCs w:val="24"/>
              </w:rPr>
              <w:t>+ 50</w:t>
            </w:r>
          </w:p>
        </w:tc>
      </w:tr>
      <w:tr w:rsidR="00416687" w:rsidRPr="006C532E" w:rsidTr="00E5663A">
        <w:tc>
          <w:tcPr>
            <w:cnfStyle w:val="001000000000"/>
            <w:tcW w:w="3681" w:type="dxa"/>
          </w:tcPr>
          <w:p w:rsidR="00416687" w:rsidRPr="006C532E" w:rsidRDefault="00416687" w:rsidP="004E4FDB">
            <w:pPr>
              <w:pStyle w:val="Paragraphedeliste"/>
              <w:numPr>
                <w:ilvl w:val="0"/>
                <w:numId w:val="10"/>
              </w:numPr>
              <w:jc w:val="both"/>
              <w:rPr>
                <w:rFonts w:ascii="Candara" w:hAnsi="Candara"/>
                <w:sz w:val="24"/>
                <w:szCs w:val="24"/>
              </w:rPr>
            </w:pPr>
            <w:r w:rsidRPr="006C532E">
              <w:rPr>
                <w:rFonts w:ascii="Candara" w:hAnsi="Candara"/>
                <w:sz w:val="24"/>
                <w:szCs w:val="24"/>
              </w:rPr>
              <w:t>Obtention de permis de construire</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75</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29</w:t>
            </w:r>
          </w:p>
        </w:tc>
        <w:tc>
          <w:tcPr>
            <w:tcW w:w="1280" w:type="dxa"/>
          </w:tcPr>
          <w:p w:rsidR="00416687" w:rsidRPr="006C532E" w:rsidRDefault="00416687" w:rsidP="004E4FDB">
            <w:pPr>
              <w:jc w:val="both"/>
              <w:cnfStyle w:val="000000000000"/>
              <w:rPr>
                <w:rFonts w:ascii="Candara" w:hAnsi="Candara"/>
                <w:b/>
                <w:bCs/>
                <w:color w:val="00B050"/>
                <w:sz w:val="24"/>
                <w:szCs w:val="24"/>
              </w:rPr>
            </w:pPr>
            <w:r w:rsidRPr="006C532E">
              <w:rPr>
                <w:rFonts w:ascii="Candara" w:hAnsi="Candara"/>
                <w:b/>
                <w:bCs/>
                <w:color w:val="00B050"/>
                <w:sz w:val="24"/>
                <w:szCs w:val="24"/>
              </w:rPr>
              <w:t>+ 46</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Raccordement à l'électricité</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107</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55</w:t>
            </w:r>
          </w:p>
        </w:tc>
        <w:tc>
          <w:tcPr>
            <w:tcW w:w="1280" w:type="dxa"/>
          </w:tcPr>
          <w:p w:rsidR="00416687" w:rsidRPr="006C532E" w:rsidRDefault="00416687" w:rsidP="004E4FDB">
            <w:pPr>
              <w:jc w:val="both"/>
              <w:cnfStyle w:val="000000000000"/>
              <w:rPr>
                <w:rFonts w:ascii="Candara" w:hAnsi="Candara"/>
                <w:b/>
                <w:bCs/>
                <w:color w:val="00B050"/>
                <w:sz w:val="24"/>
                <w:szCs w:val="24"/>
              </w:rPr>
            </w:pPr>
            <w:r w:rsidRPr="006C532E">
              <w:rPr>
                <w:rFonts w:ascii="Candara" w:hAnsi="Candara"/>
                <w:b/>
                <w:bCs/>
                <w:color w:val="00B050"/>
                <w:sz w:val="24"/>
                <w:szCs w:val="24"/>
              </w:rPr>
              <w:t>+ 52</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Transfert de propriété</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144</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76</w:t>
            </w:r>
          </w:p>
        </w:tc>
        <w:tc>
          <w:tcPr>
            <w:tcW w:w="1280" w:type="dxa"/>
          </w:tcPr>
          <w:p w:rsidR="00416687" w:rsidRPr="006C532E" w:rsidRDefault="00416687" w:rsidP="004E4FDB">
            <w:pPr>
              <w:jc w:val="both"/>
              <w:cnfStyle w:val="000000000000"/>
              <w:rPr>
                <w:rFonts w:ascii="Candara" w:hAnsi="Candara"/>
                <w:b/>
                <w:bCs/>
                <w:color w:val="00B050"/>
                <w:sz w:val="24"/>
                <w:szCs w:val="24"/>
              </w:rPr>
            </w:pPr>
            <w:r w:rsidRPr="006C532E">
              <w:rPr>
                <w:rFonts w:ascii="Candara" w:hAnsi="Candara"/>
                <w:b/>
                <w:bCs/>
                <w:color w:val="00B050"/>
                <w:sz w:val="24"/>
                <w:szCs w:val="24"/>
              </w:rPr>
              <w:t xml:space="preserve">+ </w:t>
            </w:r>
            <w:r w:rsidR="002E597B" w:rsidRPr="006C532E">
              <w:rPr>
                <w:rFonts w:ascii="Candara" w:hAnsi="Candara"/>
                <w:b/>
                <w:bCs/>
                <w:color w:val="00B050"/>
                <w:sz w:val="24"/>
                <w:szCs w:val="24"/>
              </w:rPr>
              <w:t>6</w:t>
            </w:r>
            <w:r w:rsidRPr="006C532E">
              <w:rPr>
                <w:rFonts w:ascii="Candara" w:hAnsi="Candara"/>
                <w:b/>
                <w:bCs/>
                <w:color w:val="00B050"/>
                <w:sz w:val="24"/>
                <w:szCs w:val="24"/>
              </w:rPr>
              <w:t>8</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Obtention de prêts</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98</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109</w:t>
            </w:r>
          </w:p>
        </w:tc>
        <w:tc>
          <w:tcPr>
            <w:tcW w:w="1280" w:type="dxa"/>
          </w:tcPr>
          <w:p w:rsidR="00416687" w:rsidRPr="006C532E" w:rsidRDefault="00416687" w:rsidP="004E4FDB">
            <w:pPr>
              <w:jc w:val="both"/>
              <w:cnfStyle w:val="000000000000"/>
              <w:rPr>
                <w:rFonts w:ascii="Candara" w:hAnsi="Candara"/>
                <w:sz w:val="24"/>
                <w:szCs w:val="24"/>
              </w:rPr>
            </w:pPr>
            <w:r w:rsidRPr="006C532E">
              <w:rPr>
                <w:rFonts w:ascii="Candara" w:hAnsi="Candara"/>
                <w:color w:val="FF0000"/>
                <w:sz w:val="24"/>
                <w:szCs w:val="24"/>
              </w:rPr>
              <w:t>-11</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 xml:space="preserve">Protection des </w:t>
            </w:r>
            <w:r w:rsidRPr="006C532E">
              <w:rPr>
                <w:rFonts w:ascii="Candara" w:hAnsi="Candara"/>
                <w:sz w:val="24"/>
                <w:szCs w:val="24"/>
              </w:rPr>
              <w:lastRenderedPageBreak/>
              <w:t>investisseurs minoritaires</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lastRenderedPageBreak/>
              <w:t>97</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105</w:t>
            </w:r>
          </w:p>
        </w:tc>
        <w:tc>
          <w:tcPr>
            <w:tcW w:w="1280" w:type="dxa"/>
          </w:tcPr>
          <w:p w:rsidR="00416687" w:rsidRPr="006C532E" w:rsidRDefault="00416687" w:rsidP="004E4FDB">
            <w:pPr>
              <w:jc w:val="both"/>
              <w:cnfStyle w:val="000000000000"/>
              <w:rPr>
                <w:rFonts w:ascii="Candara" w:hAnsi="Candara"/>
                <w:color w:val="FF0000"/>
                <w:sz w:val="24"/>
                <w:szCs w:val="24"/>
              </w:rPr>
            </w:pPr>
            <w:r w:rsidRPr="006C532E">
              <w:rPr>
                <w:rFonts w:ascii="Candara" w:hAnsi="Candara"/>
                <w:color w:val="FF0000"/>
                <w:sz w:val="24"/>
                <w:szCs w:val="24"/>
              </w:rPr>
              <w:t>-8</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lastRenderedPageBreak/>
              <w:t>Paiement des impôts</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112</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62</w:t>
            </w:r>
          </w:p>
        </w:tc>
        <w:tc>
          <w:tcPr>
            <w:tcW w:w="1280" w:type="dxa"/>
          </w:tcPr>
          <w:p w:rsidR="00416687" w:rsidRPr="006C532E" w:rsidRDefault="00416687" w:rsidP="004E4FDB">
            <w:pPr>
              <w:jc w:val="both"/>
              <w:cnfStyle w:val="000000000000"/>
              <w:rPr>
                <w:rFonts w:ascii="Candara" w:hAnsi="Candara"/>
                <w:b/>
                <w:bCs/>
                <w:color w:val="00B050"/>
                <w:sz w:val="24"/>
                <w:szCs w:val="24"/>
              </w:rPr>
            </w:pPr>
            <w:r w:rsidRPr="006C532E">
              <w:rPr>
                <w:rFonts w:ascii="Candara" w:hAnsi="Candara"/>
                <w:b/>
                <w:bCs/>
                <w:color w:val="00B050"/>
                <w:sz w:val="24"/>
                <w:szCs w:val="24"/>
              </w:rPr>
              <w:t>+ 50</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Commerce transfrontalier</w:t>
            </w:r>
          </w:p>
        </w:tc>
        <w:tc>
          <w:tcPr>
            <w:tcW w:w="2265"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43</w:t>
            </w:r>
          </w:p>
        </w:tc>
        <w:tc>
          <w:tcPr>
            <w:tcW w:w="2266" w:type="dxa"/>
          </w:tcPr>
          <w:p w:rsidR="00416687" w:rsidRPr="006C532E" w:rsidRDefault="00416687" w:rsidP="004E4FDB">
            <w:pPr>
              <w:jc w:val="both"/>
              <w:cnfStyle w:val="000000000000"/>
              <w:rPr>
                <w:rFonts w:ascii="Candara" w:hAnsi="Candara"/>
                <w:sz w:val="24"/>
                <w:szCs w:val="24"/>
              </w:rPr>
            </w:pPr>
            <w:r w:rsidRPr="006C532E">
              <w:rPr>
                <w:rFonts w:ascii="Candara" w:hAnsi="Candara"/>
                <w:sz w:val="24"/>
                <w:szCs w:val="24"/>
              </w:rPr>
              <w:t>102</w:t>
            </w:r>
          </w:p>
        </w:tc>
        <w:tc>
          <w:tcPr>
            <w:tcW w:w="1280" w:type="dxa"/>
          </w:tcPr>
          <w:p w:rsidR="00416687" w:rsidRPr="006C532E" w:rsidRDefault="00416687" w:rsidP="004E4FDB">
            <w:pPr>
              <w:jc w:val="both"/>
              <w:cnfStyle w:val="000000000000"/>
              <w:rPr>
                <w:rFonts w:ascii="Candara" w:hAnsi="Candara"/>
                <w:color w:val="FF0000"/>
                <w:sz w:val="24"/>
                <w:szCs w:val="24"/>
              </w:rPr>
            </w:pPr>
            <w:r w:rsidRPr="006C532E">
              <w:rPr>
                <w:rFonts w:ascii="Candara" w:hAnsi="Candara"/>
                <w:color w:val="FF0000"/>
                <w:sz w:val="24"/>
                <w:szCs w:val="24"/>
              </w:rPr>
              <w:t>-59</w:t>
            </w:r>
          </w:p>
        </w:tc>
      </w:tr>
      <w:tr w:rsidR="00416687" w:rsidRPr="006C532E" w:rsidTr="00E5663A">
        <w:tc>
          <w:tcPr>
            <w:cnfStyle w:val="001000000000"/>
            <w:tcW w:w="3681" w:type="dxa"/>
          </w:tcPr>
          <w:p w:rsidR="00416687" w:rsidRPr="006C532E" w:rsidRDefault="0027425B" w:rsidP="004E4FDB">
            <w:pPr>
              <w:pStyle w:val="Paragraphedeliste"/>
              <w:numPr>
                <w:ilvl w:val="0"/>
                <w:numId w:val="10"/>
              </w:numPr>
              <w:jc w:val="both"/>
              <w:rPr>
                <w:rFonts w:ascii="Candara" w:hAnsi="Candara"/>
                <w:sz w:val="24"/>
                <w:szCs w:val="24"/>
              </w:rPr>
            </w:pPr>
            <w:r w:rsidRPr="006C532E">
              <w:rPr>
                <w:rFonts w:ascii="Candara" w:hAnsi="Candara"/>
                <w:sz w:val="24"/>
                <w:szCs w:val="24"/>
              </w:rPr>
              <w:t>Ex</w:t>
            </w:r>
            <w:r w:rsidR="00416687" w:rsidRPr="006C532E">
              <w:rPr>
                <w:rFonts w:ascii="Candara" w:hAnsi="Candara"/>
                <w:sz w:val="24"/>
                <w:szCs w:val="24"/>
              </w:rPr>
              <w:t>é</w:t>
            </w:r>
            <w:r w:rsidRPr="006C532E">
              <w:rPr>
                <w:rFonts w:ascii="Candara" w:hAnsi="Candara"/>
                <w:sz w:val="24"/>
                <w:szCs w:val="24"/>
              </w:rPr>
              <w:t>cution des contrats</w:t>
            </w:r>
          </w:p>
        </w:tc>
        <w:tc>
          <w:tcPr>
            <w:tcW w:w="2265" w:type="dxa"/>
          </w:tcPr>
          <w:p w:rsidR="00416687" w:rsidRPr="006C532E" w:rsidRDefault="00792809" w:rsidP="004E4FDB">
            <w:pPr>
              <w:jc w:val="both"/>
              <w:cnfStyle w:val="000000000000"/>
              <w:rPr>
                <w:rFonts w:ascii="Candara" w:hAnsi="Candara"/>
                <w:sz w:val="24"/>
                <w:szCs w:val="24"/>
              </w:rPr>
            </w:pPr>
            <w:r w:rsidRPr="006C532E">
              <w:rPr>
                <w:rFonts w:ascii="Candara" w:hAnsi="Candara"/>
                <w:sz w:val="24"/>
                <w:szCs w:val="24"/>
              </w:rPr>
              <w:t>89</w:t>
            </w:r>
          </w:p>
        </w:tc>
        <w:tc>
          <w:tcPr>
            <w:tcW w:w="2266" w:type="dxa"/>
          </w:tcPr>
          <w:p w:rsidR="00416687" w:rsidRPr="006C532E" w:rsidRDefault="00792809" w:rsidP="004E4FDB">
            <w:pPr>
              <w:jc w:val="both"/>
              <w:cnfStyle w:val="000000000000"/>
              <w:rPr>
                <w:rFonts w:ascii="Candara" w:hAnsi="Candara"/>
                <w:sz w:val="24"/>
                <w:szCs w:val="24"/>
              </w:rPr>
            </w:pPr>
            <w:r w:rsidRPr="006C532E">
              <w:rPr>
                <w:rFonts w:ascii="Candara" w:hAnsi="Candara"/>
                <w:sz w:val="24"/>
                <w:szCs w:val="24"/>
              </w:rPr>
              <w:t>59</w:t>
            </w:r>
          </w:p>
        </w:tc>
        <w:tc>
          <w:tcPr>
            <w:tcW w:w="1280" w:type="dxa"/>
          </w:tcPr>
          <w:p w:rsidR="00416687" w:rsidRPr="006C532E" w:rsidRDefault="00792809" w:rsidP="004E4FDB">
            <w:pPr>
              <w:jc w:val="both"/>
              <w:cnfStyle w:val="000000000000"/>
              <w:rPr>
                <w:rFonts w:ascii="Candara" w:hAnsi="Candara"/>
                <w:b/>
                <w:bCs/>
                <w:color w:val="00B050"/>
                <w:sz w:val="24"/>
                <w:szCs w:val="24"/>
              </w:rPr>
            </w:pPr>
            <w:r w:rsidRPr="006C532E">
              <w:rPr>
                <w:rFonts w:ascii="Candara" w:hAnsi="Candara"/>
                <w:b/>
                <w:bCs/>
                <w:color w:val="00B050"/>
                <w:sz w:val="24"/>
                <w:szCs w:val="24"/>
              </w:rPr>
              <w:t>+ 30</w:t>
            </w:r>
          </w:p>
        </w:tc>
      </w:tr>
      <w:tr w:rsidR="00416687" w:rsidRPr="006C532E" w:rsidTr="00E5663A">
        <w:tc>
          <w:tcPr>
            <w:cnfStyle w:val="001000000000"/>
            <w:tcW w:w="3681" w:type="dxa"/>
          </w:tcPr>
          <w:p w:rsidR="00416687" w:rsidRPr="006C532E" w:rsidRDefault="00416687" w:rsidP="004E4FDB">
            <w:pPr>
              <w:pStyle w:val="Paragraphedeliste"/>
              <w:numPr>
                <w:ilvl w:val="0"/>
                <w:numId w:val="10"/>
              </w:numPr>
              <w:jc w:val="both"/>
              <w:rPr>
                <w:rFonts w:ascii="Candara" w:hAnsi="Candara"/>
                <w:sz w:val="24"/>
                <w:szCs w:val="24"/>
              </w:rPr>
            </w:pPr>
            <w:r w:rsidRPr="006C532E">
              <w:rPr>
                <w:rFonts w:ascii="Candara" w:hAnsi="Candara"/>
                <w:sz w:val="24"/>
                <w:szCs w:val="24"/>
              </w:rPr>
              <w:t>Règlement de l'insolvabilité</w:t>
            </w:r>
          </w:p>
        </w:tc>
        <w:tc>
          <w:tcPr>
            <w:tcW w:w="2265" w:type="dxa"/>
          </w:tcPr>
          <w:p w:rsidR="00416687" w:rsidRPr="006C532E" w:rsidRDefault="00792809" w:rsidP="004E4FDB">
            <w:pPr>
              <w:jc w:val="both"/>
              <w:cnfStyle w:val="000000000000"/>
              <w:rPr>
                <w:rFonts w:ascii="Candara" w:hAnsi="Candara"/>
                <w:sz w:val="24"/>
                <w:szCs w:val="24"/>
              </w:rPr>
            </w:pPr>
            <w:r w:rsidRPr="006C532E">
              <w:rPr>
                <w:rFonts w:ascii="Candara" w:hAnsi="Candara"/>
                <w:sz w:val="24"/>
                <w:szCs w:val="24"/>
              </w:rPr>
              <w:t>67</w:t>
            </w:r>
          </w:p>
        </w:tc>
        <w:tc>
          <w:tcPr>
            <w:tcW w:w="2266" w:type="dxa"/>
          </w:tcPr>
          <w:p w:rsidR="00416687" w:rsidRPr="006C532E" w:rsidRDefault="00792809" w:rsidP="004E4FDB">
            <w:pPr>
              <w:jc w:val="both"/>
              <w:cnfStyle w:val="000000000000"/>
              <w:rPr>
                <w:rFonts w:ascii="Candara" w:hAnsi="Candara"/>
                <w:sz w:val="24"/>
                <w:szCs w:val="24"/>
              </w:rPr>
            </w:pPr>
            <w:r w:rsidRPr="006C532E">
              <w:rPr>
                <w:rFonts w:ascii="Candara" w:hAnsi="Candara"/>
                <w:sz w:val="24"/>
                <w:szCs w:val="24"/>
              </w:rPr>
              <w:t>130</w:t>
            </w:r>
          </w:p>
        </w:tc>
        <w:tc>
          <w:tcPr>
            <w:tcW w:w="1280" w:type="dxa"/>
          </w:tcPr>
          <w:p w:rsidR="00416687" w:rsidRPr="006C532E" w:rsidRDefault="00792809" w:rsidP="004E4FDB">
            <w:pPr>
              <w:jc w:val="both"/>
              <w:cnfStyle w:val="000000000000"/>
              <w:rPr>
                <w:rFonts w:ascii="Candara" w:hAnsi="Candara"/>
                <w:color w:val="FF0000"/>
                <w:sz w:val="24"/>
                <w:szCs w:val="24"/>
              </w:rPr>
            </w:pPr>
            <w:r w:rsidRPr="006C532E">
              <w:rPr>
                <w:rFonts w:ascii="Candara" w:hAnsi="Candara"/>
                <w:color w:val="FF0000"/>
                <w:sz w:val="24"/>
                <w:szCs w:val="24"/>
              </w:rPr>
              <w:t>-63</w:t>
            </w:r>
          </w:p>
        </w:tc>
      </w:tr>
    </w:tbl>
    <w:p w:rsidR="00F62587" w:rsidRPr="006C532E" w:rsidRDefault="00F62587" w:rsidP="004E4FDB">
      <w:pPr>
        <w:jc w:val="both"/>
        <w:rPr>
          <w:rFonts w:ascii="Candara" w:hAnsi="Candara"/>
          <w:sz w:val="24"/>
          <w:szCs w:val="24"/>
        </w:rPr>
      </w:pPr>
    </w:p>
    <w:p w:rsidR="00134555" w:rsidRDefault="00134555" w:rsidP="004E4FDB">
      <w:pPr>
        <w:jc w:val="both"/>
        <w:rPr>
          <w:rFonts w:ascii="Candara" w:hAnsi="Candara"/>
          <w:sz w:val="24"/>
          <w:szCs w:val="24"/>
        </w:rPr>
      </w:pPr>
      <w:r w:rsidRPr="006C532E">
        <w:rPr>
          <w:rFonts w:ascii="Candara" w:hAnsi="Candara"/>
          <w:sz w:val="24"/>
          <w:szCs w:val="24"/>
        </w:rPr>
        <w:t>Cette comparaison fait ressortir deux catégories d’indicateurs : une catégorie où le Maroc a pu améliorer de manière significative son classement. Une seconde catégorie d’indicateurs ayant connue une baisse.</w:t>
      </w:r>
    </w:p>
    <w:p w:rsidR="006C532E" w:rsidRDefault="006C532E" w:rsidP="004E4FDB">
      <w:pPr>
        <w:jc w:val="both"/>
        <w:rPr>
          <w:rFonts w:ascii="Candara" w:hAnsi="Candara"/>
          <w:sz w:val="24"/>
          <w:szCs w:val="24"/>
        </w:rPr>
      </w:pPr>
    </w:p>
    <w:p w:rsidR="006C532E" w:rsidRPr="006C532E" w:rsidRDefault="006C532E" w:rsidP="004E4FDB">
      <w:pPr>
        <w:jc w:val="both"/>
        <w:rPr>
          <w:rFonts w:ascii="Candara" w:hAnsi="Candara"/>
          <w:sz w:val="24"/>
          <w:szCs w:val="24"/>
        </w:rPr>
      </w:pPr>
    </w:p>
    <w:p w:rsidR="00134555" w:rsidRPr="006C532E" w:rsidRDefault="00134555" w:rsidP="004E4FDB">
      <w:pPr>
        <w:pStyle w:val="Paragraphedeliste"/>
        <w:numPr>
          <w:ilvl w:val="0"/>
          <w:numId w:val="16"/>
        </w:numPr>
        <w:jc w:val="both"/>
        <w:rPr>
          <w:rFonts w:ascii="Candara" w:hAnsi="Candara"/>
          <w:b/>
          <w:bCs/>
          <w:sz w:val="32"/>
          <w:szCs w:val="32"/>
          <w:u w:val="single"/>
        </w:rPr>
      </w:pPr>
      <w:r w:rsidRPr="006C532E">
        <w:rPr>
          <w:rFonts w:ascii="Candara" w:hAnsi="Candara"/>
          <w:b/>
          <w:bCs/>
          <w:sz w:val="32"/>
          <w:szCs w:val="32"/>
          <w:u w:val="single"/>
        </w:rPr>
        <w:t xml:space="preserve">Analyse des évolutions positives </w:t>
      </w:r>
    </w:p>
    <w:p w:rsidR="00134555" w:rsidRPr="006C532E" w:rsidRDefault="00361346" w:rsidP="004E4FDB">
      <w:pPr>
        <w:jc w:val="both"/>
        <w:rPr>
          <w:rFonts w:ascii="Candara" w:hAnsi="Candara"/>
          <w:sz w:val="24"/>
          <w:szCs w:val="24"/>
        </w:rPr>
      </w:pPr>
      <w:r w:rsidRPr="006C532E">
        <w:rPr>
          <w:rFonts w:ascii="Candara" w:hAnsi="Candara"/>
          <w:b/>
          <w:bCs/>
          <w:i/>
          <w:iCs/>
          <w:sz w:val="24"/>
          <w:szCs w:val="24"/>
          <w:u w:val="single"/>
        </w:rPr>
        <w:t>Création d’entreprise</w:t>
      </w:r>
      <w:r w:rsidRPr="006C532E">
        <w:rPr>
          <w:rFonts w:ascii="Candara" w:hAnsi="Candara"/>
          <w:sz w:val="24"/>
          <w:szCs w:val="24"/>
        </w:rPr>
        <w:t> : Le Maroc a pu gagner 50 places dans le classement relatif à cet indicateur grâce à plusieurs réformes qui vise à simplifier la procédure de création d’entreprise dont notamment :</w:t>
      </w:r>
    </w:p>
    <w:p w:rsidR="00361346" w:rsidRPr="006C532E" w:rsidRDefault="00361346" w:rsidP="004E4FDB">
      <w:pPr>
        <w:pStyle w:val="Paragraphedeliste"/>
        <w:numPr>
          <w:ilvl w:val="0"/>
          <w:numId w:val="1"/>
        </w:numPr>
        <w:jc w:val="both"/>
        <w:rPr>
          <w:rFonts w:ascii="Candara" w:hAnsi="Candara"/>
          <w:sz w:val="24"/>
          <w:szCs w:val="24"/>
        </w:rPr>
      </w:pPr>
      <w:r w:rsidRPr="006C532E">
        <w:rPr>
          <w:rFonts w:ascii="Candara" w:hAnsi="Candara"/>
          <w:sz w:val="24"/>
          <w:szCs w:val="24"/>
        </w:rPr>
        <w:t>La suppression de l’exigence d’un capital minimum exigé pour la création d’une entreprise ;</w:t>
      </w:r>
    </w:p>
    <w:p w:rsidR="00361346" w:rsidRPr="006C532E" w:rsidRDefault="00361346" w:rsidP="004E4FDB">
      <w:pPr>
        <w:pStyle w:val="Paragraphedeliste"/>
        <w:numPr>
          <w:ilvl w:val="0"/>
          <w:numId w:val="1"/>
        </w:numPr>
        <w:jc w:val="both"/>
        <w:rPr>
          <w:rFonts w:ascii="Candara" w:hAnsi="Candara"/>
          <w:sz w:val="24"/>
          <w:szCs w:val="24"/>
        </w:rPr>
      </w:pPr>
      <w:r w:rsidRPr="006C532E">
        <w:rPr>
          <w:rFonts w:ascii="Candara" w:hAnsi="Candara"/>
          <w:sz w:val="24"/>
          <w:szCs w:val="24"/>
        </w:rPr>
        <w:t>L’obtention du certificat négatif en ligne ;</w:t>
      </w:r>
    </w:p>
    <w:p w:rsidR="00361346" w:rsidRPr="006C532E" w:rsidRDefault="00361346" w:rsidP="004E4FDB">
      <w:pPr>
        <w:pStyle w:val="Paragraphedeliste"/>
        <w:numPr>
          <w:ilvl w:val="0"/>
          <w:numId w:val="1"/>
        </w:numPr>
        <w:jc w:val="both"/>
        <w:rPr>
          <w:rFonts w:ascii="Candara" w:hAnsi="Candara"/>
          <w:sz w:val="24"/>
          <w:szCs w:val="24"/>
        </w:rPr>
      </w:pPr>
      <w:r w:rsidRPr="006C532E">
        <w:rPr>
          <w:rFonts w:ascii="Candara" w:hAnsi="Candara"/>
          <w:sz w:val="24"/>
          <w:szCs w:val="24"/>
        </w:rPr>
        <w:t>La réduction des frais d’enregistrement : un droit fixe de 1.000 DH au lieu du droit proportionnel de 1% a été institué ;</w:t>
      </w:r>
    </w:p>
    <w:p w:rsidR="00361346" w:rsidRPr="006C532E" w:rsidRDefault="00361346" w:rsidP="004E4FDB">
      <w:pPr>
        <w:pStyle w:val="Paragraphedeliste"/>
        <w:numPr>
          <w:ilvl w:val="0"/>
          <w:numId w:val="1"/>
        </w:numPr>
        <w:jc w:val="both"/>
        <w:rPr>
          <w:rFonts w:ascii="Candara" w:hAnsi="Candara"/>
          <w:sz w:val="24"/>
          <w:szCs w:val="24"/>
        </w:rPr>
      </w:pPr>
      <w:r w:rsidRPr="006C532E">
        <w:rPr>
          <w:rFonts w:ascii="Candara" w:hAnsi="Candara"/>
          <w:sz w:val="24"/>
          <w:szCs w:val="24"/>
        </w:rPr>
        <w:t>La suppression du dépôt de la déclaration au ministère de l’emploi.</w:t>
      </w:r>
    </w:p>
    <w:p w:rsidR="00222494" w:rsidRPr="006C532E" w:rsidRDefault="00222494" w:rsidP="004E4FDB">
      <w:pPr>
        <w:jc w:val="both"/>
        <w:rPr>
          <w:rFonts w:ascii="Candara" w:hAnsi="Candara"/>
          <w:sz w:val="24"/>
          <w:szCs w:val="24"/>
        </w:rPr>
      </w:pPr>
      <w:r w:rsidRPr="006C532E">
        <w:rPr>
          <w:rFonts w:ascii="Candara" w:hAnsi="Candara"/>
          <w:b/>
          <w:bCs/>
          <w:i/>
          <w:iCs/>
          <w:sz w:val="24"/>
          <w:szCs w:val="24"/>
          <w:u w:val="single"/>
        </w:rPr>
        <w:t>Obtention de permis de con</w:t>
      </w:r>
      <w:r w:rsidR="0014304E" w:rsidRPr="006C532E">
        <w:rPr>
          <w:rFonts w:ascii="Candara" w:hAnsi="Candara"/>
          <w:b/>
          <w:bCs/>
          <w:i/>
          <w:iCs/>
          <w:sz w:val="24"/>
          <w:szCs w:val="24"/>
          <w:u w:val="single"/>
        </w:rPr>
        <w:t>s</w:t>
      </w:r>
      <w:r w:rsidRPr="006C532E">
        <w:rPr>
          <w:rFonts w:ascii="Candara" w:hAnsi="Candara"/>
          <w:b/>
          <w:bCs/>
          <w:i/>
          <w:iCs/>
          <w:sz w:val="24"/>
          <w:szCs w:val="24"/>
          <w:u w:val="single"/>
        </w:rPr>
        <w:t>truire</w:t>
      </w:r>
      <w:r w:rsidRPr="006C532E">
        <w:rPr>
          <w:rFonts w:ascii="Candara" w:hAnsi="Candara"/>
          <w:sz w:val="24"/>
          <w:szCs w:val="24"/>
        </w:rPr>
        <w:t xml:space="preserve"> : </w:t>
      </w:r>
      <w:r w:rsidR="0014304E" w:rsidRPr="006C532E">
        <w:rPr>
          <w:rFonts w:ascii="Candara" w:hAnsi="Candara"/>
          <w:sz w:val="24"/>
          <w:szCs w:val="24"/>
        </w:rPr>
        <w:t>Le Maroc a pu percer dans cet indicateur de 46 places grâce à la mise en œuvre des réformes suivantes :</w:t>
      </w:r>
    </w:p>
    <w:p w:rsidR="0014304E" w:rsidRPr="006C532E" w:rsidRDefault="0014304E" w:rsidP="004E4FDB">
      <w:pPr>
        <w:pStyle w:val="Paragraphedeliste"/>
        <w:numPr>
          <w:ilvl w:val="0"/>
          <w:numId w:val="1"/>
        </w:numPr>
        <w:jc w:val="both"/>
        <w:rPr>
          <w:rFonts w:ascii="Candara" w:hAnsi="Candara"/>
          <w:sz w:val="24"/>
          <w:szCs w:val="24"/>
        </w:rPr>
      </w:pPr>
      <w:r w:rsidRPr="006C532E">
        <w:rPr>
          <w:rFonts w:ascii="Candara" w:hAnsi="Candara"/>
          <w:sz w:val="24"/>
          <w:szCs w:val="24"/>
        </w:rPr>
        <w:t>Mise en place du guichet unique. Ce mécanisme a permis, d’une part, l’obtention du permis de construire dans un délai réduit, et d’autre part, la baisse du nombre d’inspections sur le terrain et la traçabilité des dossiers en ligne ;</w:t>
      </w:r>
    </w:p>
    <w:p w:rsidR="0014304E" w:rsidRPr="006C532E" w:rsidRDefault="0014304E" w:rsidP="004E4FDB">
      <w:pPr>
        <w:pStyle w:val="Paragraphedeliste"/>
        <w:numPr>
          <w:ilvl w:val="0"/>
          <w:numId w:val="1"/>
        </w:numPr>
        <w:spacing w:after="150" w:line="330" w:lineRule="atLeast"/>
        <w:jc w:val="both"/>
        <w:rPr>
          <w:rFonts w:ascii="Candara" w:hAnsi="Candara"/>
          <w:sz w:val="24"/>
          <w:szCs w:val="24"/>
        </w:rPr>
      </w:pPr>
      <w:r w:rsidRPr="006C532E">
        <w:rPr>
          <w:rFonts w:ascii="Candara" w:hAnsi="Candara"/>
          <w:sz w:val="24"/>
          <w:szCs w:val="24"/>
        </w:rPr>
        <w:t>L’entrée en vigueur du Règlement Général de Construction qui a introduit les innovations suivantes : Le permis d’habiter est délivré sur la base de l’attestation de l’architecte, le délai de délivrance dudit permis a été réduit à 7 jours, la réduction de nombre des inspections que la commune organise pendant les travaux  ;</w:t>
      </w:r>
    </w:p>
    <w:p w:rsidR="0014304E" w:rsidRPr="006C532E" w:rsidRDefault="0014304E" w:rsidP="004E4FDB">
      <w:pPr>
        <w:pStyle w:val="Paragraphedeliste"/>
        <w:numPr>
          <w:ilvl w:val="0"/>
          <w:numId w:val="1"/>
        </w:numPr>
        <w:jc w:val="both"/>
        <w:rPr>
          <w:rFonts w:ascii="Candara" w:hAnsi="Candara"/>
          <w:sz w:val="24"/>
          <w:szCs w:val="24"/>
        </w:rPr>
      </w:pPr>
      <w:r w:rsidRPr="006C532E">
        <w:rPr>
          <w:rFonts w:ascii="Candara" w:hAnsi="Candara"/>
          <w:sz w:val="24"/>
          <w:szCs w:val="24"/>
        </w:rPr>
        <w:t>La mise en place d’une plateforme électronique permettant la dématérialisation complète du processus de délivrance des Notes de Renseignements Urbanistiques au niveau de la ville de Casablanca</w:t>
      </w:r>
    </w:p>
    <w:p w:rsidR="002E597B" w:rsidRPr="006C532E" w:rsidRDefault="002E597B" w:rsidP="004E4FDB">
      <w:pPr>
        <w:jc w:val="both"/>
        <w:rPr>
          <w:rFonts w:ascii="Candara" w:hAnsi="Candara"/>
          <w:sz w:val="24"/>
          <w:szCs w:val="24"/>
        </w:rPr>
      </w:pPr>
      <w:r w:rsidRPr="006C532E">
        <w:rPr>
          <w:rFonts w:ascii="Candara" w:hAnsi="Candara"/>
          <w:b/>
          <w:bCs/>
          <w:i/>
          <w:iCs/>
          <w:sz w:val="24"/>
          <w:szCs w:val="24"/>
          <w:u w:val="single"/>
        </w:rPr>
        <w:lastRenderedPageBreak/>
        <w:t>Raccordement à l'électricité</w:t>
      </w:r>
      <w:r w:rsidRPr="006C532E">
        <w:rPr>
          <w:rFonts w:ascii="Candara" w:hAnsi="Candara"/>
          <w:sz w:val="24"/>
          <w:szCs w:val="24"/>
        </w:rPr>
        <w:t> : la performance du Maroc sur cet indicateur de 52 places s’explique essentiellement par l’amélioration des prestations de services rendus aux entreprises en termes de délais de traitement des dossiers pour le raccordement au réseau électrique et par la publication des engagements de service.</w:t>
      </w:r>
    </w:p>
    <w:p w:rsidR="002E597B" w:rsidRPr="006C532E" w:rsidRDefault="002E597B" w:rsidP="004E4FDB">
      <w:pPr>
        <w:jc w:val="both"/>
        <w:rPr>
          <w:rFonts w:ascii="Candara" w:hAnsi="Candara"/>
          <w:sz w:val="24"/>
          <w:szCs w:val="24"/>
        </w:rPr>
      </w:pPr>
      <w:bookmarkStart w:id="0" w:name="_GoBack"/>
      <w:r w:rsidRPr="00DE2C43">
        <w:rPr>
          <w:rFonts w:ascii="Candara" w:hAnsi="Candara"/>
          <w:b/>
          <w:bCs/>
          <w:i/>
          <w:iCs/>
          <w:sz w:val="24"/>
          <w:szCs w:val="24"/>
          <w:u w:val="single"/>
        </w:rPr>
        <w:t>Transfert de propriété</w:t>
      </w:r>
      <w:r w:rsidRPr="006C532E">
        <w:rPr>
          <w:rFonts w:ascii="Candara" w:hAnsi="Candara"/>
          <w:sz w:val="24"/>
          <w:szCs w:val="24"/>
        </w:rPr>
        <w:t> </w:t>
      </w:r>
      <w:bookmarkEnd w:id="0"/>
      <w:r w:rsidRPr="006C532E">
        <w:rPr>
          <w:rFonts w:ascii="Candara" w:hAnsi="Candara"/>
          <w:sz w:val="24"/>
          <w:szCs w:val="24"/>
        </w:rPr>
        <w:t>: Le Maroc a réalisé des avancées très importantes en matière du transfert de propriété en avançant de 68 places sur la période 2012-2016. Cette meilleure performance est attribuée aux différentes réformes menées par le Royaume pour faciliter la procédure de transfert de propriété, dont principalement :</w:t>
      </w:r>
    </w:p>
    <w:p w:rsidR="002E597B" w:rsidRPr="006C532E" w:rsidRDefault="002E597B" w:rsidP="004E4FDB">
      <w:pPr>
        <w:pStyle w:val="Paragraphedeliste"/>
        <w:numPr>
          <w:ilvl w:val="0"/>
          <w:numId w:val="1"/>
        </w:numPr>
        <w:jc w:val="both"/>
        <w:rPr>
          <w:rFonts w:ascii="Candara" w:hAnsi="Candara"/>
          <w:sz w:val="24"/>
          <w:szCs w:val="24"/>
        </w:rPr>
      </w:pPr>
      <w:r w:rsidRPr="006C532E">
        <w:rPr>
          <w:rFonts w:ascii="Candara" w:hAnsi="Candara"/>
          <w:sz w:val="24"/>
          <w:szCs w:val="24"/>
        </w:rPr>
        <w:t>La dématérialisation de l’échange des données entre la TGR, la DGI et la Commune Urbaine de Casablanca, pour la délivrance de l’attestation de paiement des impôts et taxes grevant l’immeuble, ce qui a permis la consécration de la notion du guichet unique pour la délivrance de l’attestation où le percepteur est l’interl</w:t>
      </w:r>
      <w:r w:rsidR="00D47B16" w:rsidRPr="006C532E">
        <w:rPr>
          <w:rFonts w:ascii="Candara" w:hAnsi="Candara"/>
          <w:sz w:val="24"/>
          <w:szCs w:val="24"/>
        </w:rPr>
        <w:t>ocuteur unique du pétitionnaire ;</w:t>
      </w:r>
    </w:p>
    <w:p w:rsidR="002E597B" w:rsidRPr="006C532E" w:rsidRDefault="002E597B" w:rsidP="004E4FDB">
      <w:pPr>
        <w:pStyle w:val="Paragraphedeliste"/>
        <w:numPr>
          <w:ilvl w:val="0"/>
          <w:numId w:val="1"/>
        </w:numPr>
        <w:jc w:val="both"/>
        <w:rPr>
          <w:rFonts w:ascii="Candara" w:hAnsi="Candara"/>
          <w:sz w:val="24"/>
          <w:szCs w:val="24"/>
        </w:rPr>
      </w:pPr>
      <w:r w:rsidRPr="006C532E">
        <w:rPr>
          <w:rFonts w:ascii="Candara" w:hAnsi="Candara"/>
          <w:sz w:val="24"/>
          <w:szCs w:val="24"/>
        </w:rPr>
        <w:t>La réduction du temps nécessaire pour l’enregistrement d’un acte de transfert au niv</w:t>
      </w:r>
      <w:r w:rsidR="00D47B16" w:rsidRPr="006C532E">
        <w:rPr>
          <w:rFonts w:ascii="Candara" w:hAnsi="Candara"/>
          <w:sz w:val="24"/>
          <w:szCs w:val="24"/>
        </w:rPr>
        <w:t>eau de l’administration fiscale.</w:t>
      </w:r>
    </w:p>
    <w:p w:rsidR="000D7FAF" w:rsidRPr="006C532E" w:rsidRDefault="000D7FAF" w:rsidP="004E4FDB">
      <w:pPr>
        <w:spacing w:line="276" w:lineRule="auto"/>
        <w:jc w:val="both"/>
        <w:rPr>
          <w:rFonts w:ascii="Candara" w:hAnsi="Candara"/>
          <w:sz w:val="24"/>
          <w:szCs w:val="24"/>
        </w:rPr>
      </w:pPr>
      <w:r w:rsidRPr="006C532E">
        <w:rPr>
          <w:rFonts w:ascii="Candara" w:hAnsi="Candara"/>
          <w:b/>
          <w:bCs/>
          <w:i/>
          <w:iCs/>
          <w:sz w:val="24"/>
          <w:szCs w:val="24"/>
          <w:u w:val="single"/>
        </w:rPr>
        <w:t>Paiement des impôts</w:t>
      </w:r>
      <w:r w:rsidRPr="006C532E">
        <w:rPr>
          <w:rFonts w:ascii="Candara" w:hAnsi="Candara"/>
          <w:sz w:val="24"/>
          <w:szCs w:val="24"/>
        </w:rPr>
        <w:t> : le Royaume a réalisé un saut important en matière de paiement des impôts et taxes en passant du 112 à 62 sur la période 2012-2016, soit une avancée de 50 places. Ceci grâce aux différentes réformes menées par notre pays pour faciliter les procédures de paiement des taxes et impôts aux entreprises, dont notamment :</w:t>
      </w:r>
    </w:p>
    <w:p w:rsidR="000D7FAF" w:rsidRPr="006C532E" w:rsidRDefault="000D7FAF" w:rsidP="004E4FDB">
      <w:pPr>
        <w:pStyle w:val="Paragraphedeliste"/>
        <w:numPr>
          <w:ilvl w:val="0"/>
          <w:numId w:val="14"/>
        </w:numPr>
        <w:spacing w:line="276" w:lineRule="auto"/>
        <w:jc w:val="both"/>
        <w:rPr>
          <w:rFonts w:ascii="Candara" w:hAnsi="Candara"/>
          <w:sz w:val="24"/>
          <w:szCs w:val="24"/>
        </w:rPr>
      </w:pPr>
      <w:r w:rsidRPr="006C532E">
        <w:rPr>
          <w:rFonts w:ascii="Candara" w:hAnsi="Candara"/>
          <w:sz w:val="24"/>
          <w:szCs w:val="24"/>
        </w:rPr>
        <w:t xml:space="preserve">La mise en place progressive du système de la télé-déclaration et de télépaiement de l’IS et de la TVA, cette mesure a permis d’améliorer le classement de 17 rangs sur l’indicateur dans le rapport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2012 ;</w:t>
      </w:r>
    </w:p>
    <w:p w:rsidR="000D7FAF" w:rsidRPr="006C532E" w:rsidRDefault="000D7FAF" w:rsidP="004E4FDB">
      <w:pPr>
        <w:pStyle w:val="Paragraphedeliste"/>
        <w:numPr>
          <w:ilvl w:val="0"/>
          <w:numId w:val="14"/>
        </w:numPr>
        <w:spacing w:line="276" w:lineRule="auto"/>
        <w:jc w:val="both"/>
        <w:rPr>
          <w:rFonts w:ascii="Candara" w:hAnsi="Candara"/>
          <w:sz w:val="24"/>
          <w:szCs w:val="24"/>
        </w:rPr>
      </w:pPr>
      <w:r w:rsidRPr="006C532E">
        <w:rPr>
          <w:rFonts w:ascii="Candara" w:hAnsi="Candara"/>
          <w:sz w:val="24"/>
          <w:szCs w:val="24"/>
        </w:rPr>
        <w:t xml:space="preserve">La mise en place du système électronique d'e-enregistrement et d’e-paiement DAMANCOM pour l’enregistrement et le paiement en ligne des cotisations à la CNSS, cette mesure a permis d’améliorer le classement de 32 rangs sur l’indicateur dans le rapport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2014.</w:t>
      </w:r>
    </w:p>
    <w:p w:rsidR="00D046AB" w:rsidRPr="006C532E" w:rsidRDefault="000D7FAF" w:rsidP="004E4FDB">
      <w:pPr>
        <w:jc w:val="both"/>
        <w:rPr>
          <w:rFonts w:ascii="Candara" w:hAnsi="Candara"/>
          <w:sz w:val="24"/>
          <w:szCs w:val="24"/>
        </w:rPr>
      </w:pPr>
      <w:r w:rsidRPr="006C532E">
        <w:rPr>
          <w:rFonts w:ascii="Candara" w:hAnsi="Candara"/>
          <w:b/>
          <w:bCs/>
          <w:i/>
          <w:iCs/>
          <w:sz w:val="24"/>
          <w:szCs w:val="24"/>
          <w:u w:val="single"/>
        </w:rPr>
        <w:t>Exécution des contrats</w:t>
      </w:r>
      <w:r w:rsidRPr="006C532E">
        <w:rPr>
          <w:rFonts w:ascii="Candara" w:hAnsi="Candara"/>
          <w:sz w:val="24"/>
          <w:szCs w:val="24"/>
        </w:rPr>
        <w:t xml:space="preserve"> : Le Maroc a réalisé un saut de 30 places sur la période 2012-2016 grâce à la prise en compte par les experts de </w:t>
      </w:r>
      <w:proofErr w:type="spellStart"/>
      <w:r w:rsidRPr="006C532E">
        <w:rPr>
          <w:rFonts w:ascii="Candara" w:hAnsi="Candara"/>
          <w:sz w:val="24"/>
          <w:szCs w:val="24"/>
        </w:rPr>
        <w:t>Doing</w:t>
      </w:r>
      <w:proofErr w:type="spellEnd"/>
      <w:r w:rsidRPr="006C532E">
        <w:rPr>
          <w:rFonts w:ascii="Candara" w:hAnsi="Candara"/>
          <w:sz w:val="24"/>
          <w:szCs w:val="24"/>
        </w:rPr>
        <w:t xml:space="preserve"> Business des efforts entrepris pour améliorer le système de gestion électronique des procès </w:t>
      </w:r>
      <w:r w:rsidR="00D046AB" w:rsidRPr="006C532E">
        <w:rPr>
          <w:rFonts w:ascii="Candara" w:hAnsi="Candara"/>
          <w:sz w:val="24"/>
          <w:szCs w:val="24"/>
        </w:rPr>
        <w:t>au niveau du tribunal</w:t>
      </w:r>
      <w:r w:rsidRPr="006C532E">
        <w:rPr>
          <w:rFonts w:ascii="Candara" w:hAnsi="Candara"/>
          <w:sz w:val="24"/>
          <w:szCs w:val="24"/>
        </w:rPr>
        <w:t xml:space="preserve"> de commerce </w:t>
      </w:r>
      <w:r w:rsidR="00D046AB" w:rsidRPr="006C532E">
        <w:rPr>
          <w:rFonts w:ascii="Candara" w:hAnsi="Candara"/>
          <w:sz w:val="24"/>
          <w:szCs w:val="24"/>
        </w:rPr>
        <w:t>de Casablanca.</w:t>
      </w:r>
    </w:p>
    <w:p w:rsidR="00134555" w:rsidRPr="006C532E" w:rsidRDefault="00134555" w:rsidP="004E4FDB">
      <w:pPr>
        <w:pStyle w:val="Paragraphedeliste"/>
        <w:numPr>
          <w:ilvl w:val="0"/>
          <w:numId w:val="16"/>
        </w:numPr>
        <w:jc w:val="both"/>
        <w:rPr>
          <w:rFonts w:ascii="Candara" w:hAnsi="Candara"/>
          <w:b/>
          <w:bCs/>
          <w:sz w:val="32"/>
          <w:szCs w:val="32"/>
          <w:u w:val="single"/>
        </w:rPr>
      </w:pPr>
      <w:r w:rsidRPr="006C532E">
        <w:rPr>
          <w:rFonts w:ascii="Candara" w:hAnsi="Candara"/>
          <w:b/>
          <w:bCs/>
          <w:sz w:val="32"/>
          <w:szCs w:val="32"/>
          <w:u w:val="single"/>
        </w:rPr>
        <w:t xml:space="preserve">Analyse des évolutions négatives </w:t>
      </w:r>
    </w:p>
    <w:p w:rsidR="00D046AB" w:rsidRPr="006C532E" w:rsidRDefault="00D046AB" w:rsidP="004E4FDB">
      <w:pPr>
        <w:jc w:val="both"/>
        <w:rPr>
          <w:rFonts w:ascii="Candara" w:hAnsi="Candara"/>
          <w:sz w:val="24"/>
          <w:szCs w:val="24"/>
        </w:rPr>
      </w:pPr>
      <w:r w:rsidRPr="006C532E">
        <w:rPr>
          <w:rFonts w:ascii="Candara" w:hAnsi="Candara"/>
          <w:b/>
          <w:bCs/>
          <w:i/>
          <w:iCs/>
          <w:sz w:val="24"/>
          <w:szCs w:val="24"/>
          <w:u w:val="single"/>
        </w:rPr>
        <w:t>Commerce transfrontalier</w:t>
      </w:r>
      <w:r w:rsidRPr="006C532E">
        <w:rPr>
          <w:rFonts w:ascii="Candara" w:hAnsi="Candara"/>
          <w:sz w:val="24"/>
          <w:szCs w:val="24"/>
        </w:rPr>
        <w:t xml:space="preserve"> : cet Indicateur est le seul des 10 indicateurs du rapport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qui a connu un changement radical de sa méthodologie pour l’édition 2016. Il est à rappeler que le Maroc était considéré durant les trois dernières années par les experts de </w:t>
      </w:r>
      <w:proofErr w:type="spellStart"/>
      <w:r w:rsidRPr="006C532E">
        <w:rPr>
          <w:rFonts w:ascii="Candara" w:hAnsi="Candara"/>
          <w:sz w:val="24"/>
          <w:szCs w:val="24"/>
        </w:rPr>
        <w:t>Doing</w:t>
      </w:r>
      <w:proofErr w:type="spellEnd"/>
      <w:r w:rsidRPr="006C532E">
        <w:rPr>
          <w:rFonts w:ascii="Candara" w:hAnsi="Candara"/>
          <w:sz w:val="24"/>
          <w:szCs w:val="24"/>
        </w:rPr>
        <w:t xml:space="preserve"> Business, avant le changement méthodologique en question, comme étant un des meilleurs pays réformateurs en matière du commerce extérieur.</w:t>
      </w:r>
    </w:p>
    <w:p w:rsidR="004E4FDB" w:rsidRPr="006C532E" w:rsidRDefault="004E4FDB" w:rsidP="004E4FDB">
      <w:pPr>
        <w:jc w:val="both"/>
        <w:rPr>
          <w:rFonts w:ascii="Candara" w:hAnsi="Candara"/>
          <w:sz w:val="24"/>
          <w:szCs w:val="24"/>
        </w:rPr>
      </w:pPr>
      <w:r w:rsidRPr="006C532E">
        <w:rPr>
          <w:rFonts w:ascii="Candara" w:hAnsi="Candara"/>
          <w:b/>
          <w:bCs/>
          <w:i/>
          <w:iCs/>
          <w:sz w:val="24"/>
          <w:szCs w:val="24"/>
          <w:u w:val="single"/>
        </w:rPr>
        <w:lastRenderedPageBreak/>
        <w:t>Protection des investisseurs minoritaires</w:t>
      </w:r>
      <w:r w:rsidRPr="006C532E">
        <w:rPr>
          <w:rFonts w:ascii="Candara" w:hAnsi="Candara"/>
          <w:sz w:val="24"/>
          <w:szCs w:val="24"/>
        </w:rPr>
        <w:t> : L’évolution négative enregistrée dans cet indicateur sera corrigée par l’entrée en vigueur de La réforme de la loi sur les Sociétés Anonymes (SA) publiée au BO numéro 6390 bis du 28/08/2015 (Le Dahir numéro 1.15.106 du 29 Juillet 2015 portant loi numéro 78.12 modifiant la loi 17.95 relative à la société anonyme)</w:t>
      </w:r>
    </w:p>
    <w:p w:rsidR="004E4FDB" w:rsidRPr="006C532E" w:rsidRDefault="004E4FDB" w:rsidP="004E4FDB">
      <w:pPr>
        <w:jc w:val="both"/>
        <w:rPr>
          <w:rFonts w:ascii="Candara" w:hAnsi="Candara"/>
          <w:sz w:val="24"/>
          <w:szCs w:val="24"/>
        </w:rPr>
      </w:pPr>
      <w:r w:rsidRPr="006C532E">
        <w:rPr>
          <w:rFonts w:ascii="Candara" w:hAnsi="Candara"/>
          <w:sz w:val="24"/>
          <w:szCs w:val="24"/>
        </w:rPr>
        <w:t xml:space="preserve">Ce projet de loi vient confirmer la volonté du gouvernement de faciliter et de simplifier davantage les procédures de constitution et du fonctionnement des sociétés anonymes. </w:t>
      </w:r>
    </w:p>
    <w:p w:rsidR="004E4FDB" w:rsidRPr="006C532E" w:rsidRDefault="004E4FDB" w:rsidP="004E4FDB">
      <w:pPr>
        <w:jc w:val="both"/>
        <w:rPr>
          <w:rFonts w:ascii="Candara" w:hAnsi="Candara"/>
          <w:sz w:val="24"/>
          <w:szCs w:val="24"/>
        </w:rPr>
      </w:pPr>
      <w:r w:rsidRPr="006C532E">
        <w:rPr>
          <w:rFonts w:ascii="Candara" w:hAnsi="Candara"/>
          <w:sz w:val="24"/>
          <w:szCs w:val="24"/>
        </w:rPr>
        <w:t>Les principaux amendements composant ce projet de loi modificatif s’articulent autour des axes suivants :</w:t>
      </w:r>
    </w:p>
    <w:p w:rsidR="004E4FDB" w:rsidRPr="006C532E" w:rsidRDefault="004E4FDB" w:rsidP="004E4FDB">
      <w:pPr>
        <w:jc w:val="both"/>
        <w:rPr>
          <w:rFonts w:ascii="Candara" w:hAnsi="Candara"/>
          <w:sz w:val="24"/>
          <w:szCs w:val="24"/>
        </w:rPr>
      </w:pPr>
      <w:r w:rsidRPr="006C532E">
        <w:rPr>
          <w:rFonts w:ascii="Candara" w:hAnsi="Candara"/>
          <w:sz w:val="24"/>
          <w:szCs w:val="24"/>
        </w:rPr>
        <w:t>1.</w:t>
      </w:r>
      <w:r w:rsidRPr="006C532E">
        <w:rPr>
          <w:rFonts w:ascii="Candara" w:hAnsi="Candara"/>
          <w:sz w:val="24"/>
          <w:szCs w:val="24"/>
        </w:rPr>
        <w:tab/>
        <w:t>Simplification des procédures relatives aux sociétés anonymes ;</w:t>
      </w:r>
    </w:p>
    <w:p w:rsidR="004E4FDB" w:rsidRPr="006C532E" w:rsidRDefault="004E4FDB" w:rsidP="004E4FDB">
      <w:pPr>
        <w:jc w:val="both"/>
        <w:rPr>
          <w:rFonts w:ascii="Candara" w:hAnsi="Candara"/>
          <w:sz w:val="24"/>
          <w:szCs w:val="24"/>
        </w:rPr>
      </w:pPr>
      <w:r w:rsidRPr="006C532E">
        <w:rPr>
          <w:rFonts w:ascii="Candara" w:hAnsi="Candara"/>
          <w:sz w:val="24"/>
          <w:szCs w:val="24"/>
        </w:rPr>
        <w:t>2.</w:t>
      </w:r>
      <w:r w:rsidRPr="006C532E">
        <w:rPr>
          <w:rFonts w:ascii="Candara" w:hAnsi="Candara"/>
          <w:sz w:val="24"/>
          <w:szCs w:val="24"/>
        </w:rPr>
        <w:tab/>
        <w:t>Refonte du système des conventions réglementées ;</w:t>
      </w:r>
    </w:p>
    <w:p w:rsidR="004E4FDB" w:rsidRPr="006C532E" w:rsidRDefault="004E4FDB" w:rsidP="004E4FDB">
      <w:pPr>
        <w:jc w:val="both"/>
        <w:rPr>
          <w:rFonts w:ascii="Candara" w:hAnsi="Candara"/>
          <w:sz w:val="24"/>
          <w:szCs w:val="24"/>
        </w:rPr>
      </w:pPr>
      <w:r w:rsidRPr="006C532E">
        <w:rPr>
          <w:rFonts w:ascii="Candara" w:hAnsi="Candara"/>
          <w:sz w:val="24"/>
          <w:szCs w:val="24"/>
        </w:rPr>
        <w:t>3.</w:t>
      </w:r>
      <w:r w:rsidRPr="006C532E">
        <w:rPr>
          <w:rFonts w:ascii="Candara" w:hAnsi="Candara"/>
          <w:sz w:val="24"/>
          <w:szCs w:val="24"/>
        </w:rPr>
        <w:tab/>
        <w:t>Amélioration de la gouvernance dans la gestion des sociétés anonymes ;</w:t>
      </w:r>
    </w:p>
    <w:p w:rsidR="004E4FDB" w:rsidRPr="006C532E" w:rsidRDefault="004E4FDB" w:rsidP="004E4FDB">
      <w:pPr>
        <w:jc w:val="both"/>
        <w:rPr>
          <w:rFonts w:ascii="Candara" w:hAnsi="Candara"/>
          <w:sz w:val="24"/>
          <w:szCs w:val="24"/>
        </w:rPr>
      </w:pPr>
      <w:r w:rsidRPr="006C532E">
        <w:rPr>
          <w:rFonts w:ascii="Candara" w:hAnsi="Candara"/>
          <w:sz w:val="24"/>
          <w:szCs w:val="24"/>
        </w:rPr>
        <w:t>4.</w:t>
      </w:r>
      <w:r w:rsidRPr="006C532E">
        <w:rPr>
          <w:rFonts w:ascii="Candara" w:hAnsi="Candara"/>
          <w:sz w:val="24"/>
          <w:szCs w:val="24"/>
        </w:rPr>
        <w:tab/>
        <w:t>Renforcement des droits des actionnaires ;</w:t>
      </w:r>
    </w:p>
    <w:p w:rsidR="004E4FDB" w:rsidRPr="006C532E" w:rsidRDefault="004E4FDB" w:rsidP="004E4FDB">
      <w:pPr>
        <w:jc w:val="both"/>
        <w:rPr>
          <w:rFonts w:ascii="Candara" w:hAnsi="Candara"/>
          <w:sz w:val="24"/>
          <w:szCs w:val="24"/>
        </w:rPr>
      </w:pPr>
      <w:r w:rsidRPr="006C532E">
        <w:rPr>
          <w:rFonts w:ascii="Candara" w:hAnsi="Candara"/>
          <w:sz w:val="24"/>
          <w:szCs w:val="24"/>
        </w:rPr>
        <w:t>5.</w:t>
      </w:r>
      <w:r w:rsidRPr="006C532E">
        <w:rPr>
          <w:rFonts w:ascii="Candara" w:hAnsi="Candara"/>
          <w:sz w:val="24"/>
          <w:szCs w:val="24"/>
        </w:rPr>
        <w:tab/>
        <w:t>Garantir la transparence en cas de fusions ou de scissions ; et</w:t>
      </w:r>
    </w:p>
    <w:p w:rsidR="004E4FDB" w:rsidRPr="006C532E" w:rsidRDefault="004E4FDB" w:rsidP="004E4FDB">
      <w:pPr>
        <w:jc w:val="both"/>
        <w:rPr>
          <w:rFonts w:ascii="Candara" w:hAnsi="Candara"/>
          <w:sz w:val="24"/>
          <w:szCs w:val="24"/>
        </w:rPr>
      </w:pPr>
      <w:r w:rsidRPr="006C532E">
        <w:rPr>
          <w:rFonts w:ascii="Candara" w:hAnsi="Candara"/>
          <w:sz w:val="24"/>
          <w:szCs w:val="24"/>
        </w:rPr>
        <w:t>6.</w:t>
      </w:r>
      <w:r w:rsidRPr="006C532E">
        <w:rPr>
          <w:rFonts w:ascii="Candara" w:hAnsi="Candara"/>
          <w:sz w:val="24"/>
          <w:szCs w:val="24"/>
        </w:rPr>
        <w:tab/>
        <w:t>L’encadrement de l’achat par une société cotée de ses propres actions.</w:t>
      </w:r>
    </w:p>
    <w:p w:rsidR="004E4FDB" w:rsidRPr="006C532E" w:rsidRDefault="004E4FDB" w:rsidP="004E4FDB">
      <w:pPr>
        <w:jc w:val="both"/>
        <w:rPr>
          <w:rFonts w:ascii="Candara" w:hAnsi="Candara"/>
          <w:sz w:val="24"/>
          <w:szCs w:val="24"/>
        </w:rPr>
      </w:pPr>
      <w:r w:rsidRPr="006C532E">
        <w:rPr>
          <w:rFonts w:ascii="Candara" w:hAnsi="Candara"/>
          <w:sz w:val="24"/>
          <w:szCs w:val="24"/>
        </w:rPr>
        <w:t xml:space="preserve">Ces amendements devraient permettre d’améliorer considérablement le classement du Maroc dans l’indicateur « protection des actionnaires minoritaires» dans la prochaine édition du rapport </w:t>
      </w:r>
      <w:proofErr w:type="spellStart"/>
      <w:r w:rsidRPr="006C532E">
        <w:rPr>
          <w:rFonts w:ascii="Candara" w:hAnsi="Candara"/>
          <w:sz w:val="24"/>
          <w:szCs w:val="24"/>
        </w:rPr>
        <w:t>Doing</w:t>
      </w:r>
      <w:proofErr w:type="spellEnd"/>
      <w:r w:rsidRPr="006C532E">
        <w:rPr>
          <w:rFonts w:ascii="Candara" w:hAnsi="Candara"/>
          <w:sz w:val="24"/>
          <w:szCs w:val="24"/>
        </w:rPr>
        <w:t xml:space="preserve"> Business. Cette réforme permettra de hisser sensiblement notre classement actuel de 105 pour se positionner dans les tops 50.</w:t>
      </w:r>
    </w:p>
    <w:p w:rsidR="004E4FDB" w:rsidRPr="006C532E" w:rsidRDefault="004E4FDB" w:rsidP="004E4FDB">
      <w:pPr>
        <w:jc w:val="both"/>
        <w:rPr>
          <w:rFonts w:ascii="Candara" w:hAnsi="Candara"/>
          <w:sz w:val="24"/>
          <w:szCs w:val="24"/>
        </w:rPr>
      </w:pPr>
      <w:r w:rsidRPr="006C532E">
        <w:rPr>
          <w:rFonts w:ascii="Candara" w:hAnsi="Candara"/>
          <w:b/>
          <w:bCs/>
          <w:i/>
          <w:iCs/>
          <w:sz w:val="24"/>
          <w:szCs w:val="24"/>
          <w:u w:val="single"/>
        </w:rPr>
        <w:t>Obtention de prêts</w:t>
      </w:r>
      <w:r w:rsidRPr="006C532E">
        <w:rPr>
          <w:rFonts w:ascii="Candara" w:hAnsi="Candara"/>
          <w:sz w:val="24"/>
          <w:szCs w:val="24"/>
        </w:rPr>
        <w:t> : le classement du Maroc sur cet indicateur sera amélioré grâce au projet de réforme du Système des sûretés mobilières inscrit dans le plan d’action annuel 2015 du CNEA.</w:t>
      </w:r>
    </w:p>
    <w:p w:rsidR="004E4FDB" w:rsidRPr="006C532E" w:rsidRDefault="004E4FDB" w:rsidP="004E4FDB">
      <w:pPr>
        <w:jc w:val="both"/>
        <w:rPr>
          <w:rFonts w:ascii="Candara" w:hAnsi="Candara"/>
          <w:sz w:val="24"/>
          <w:szCs w:val="24"/>
        </w:rPr>
      </w:pPr>
      <w:r w:rsidRPr="006C532E">
        <w:rPr>
          <w:rFonts w:ascii="Candara" w:hAnsi="Candara"/>
          <w:sz w:val="24"/>
          <w:szCs w:val="24"/>
        </w:rPr>
        <w:t>Cette réforme révolutionnaire scindée en deux volets, la refonte global du cadre juridique régissant les sûretés mobilières au sein du Dahir formant Code des Obligations et des Contrats et la mise en place d’un registre national des nantissements permettant de favoriser l'accès au crédit des entreprises et de faire converger le dispositif législatif régissant les sûretés mobilières vers les meilleures pratiques internationales.</w:t>
      </w:r>
    </w:p>
    <w:p w:rsidR="004E4FDB" w:rsidRPr="006C532E" w:rsidRDefault="004E4FDB" w:rsidP="004E4FDB">
      <w:pPr>
        <w:jc w:val="both"/>
        <w:rPr>
          <w:rFonts w:ascii="Candara" w:hAnsi="Candara"/>
          <w:sz w:val="24"/>
          <w:szCs w:val="24"/>
        </w:rPr>
      </w:pPr>
      <w:r w:rsidRPr="006C532E">
        <w:rPr>
          <w:rFonts w:ascii="Candara" w:hAnsi="Candara"/>
          <w:sz w:val="24"/>
          <w:szCs w:val="24"/>
        </w:rPr>
        <w:t xml:space="preserve">Ce projet de texte, mis en consultation dans le portail du Secrétariat Général du Gouvernement (SGG) en Mars dernier est en cours de finalisation dans le cadre d’un Comité de Pilotage avant sa transmission au Conseil du Gouvernement. </w:t>
      </w:r>
    </w:p>
    <w:p w:rsidR="004E4FDB" w:rsidRPr="006C532E" w:rsidRDefault="004E4FDB" w:rsidP="004E4FDB">
      <w:pPr>
        <w:jc w:val="both"/>
        <w:rPr>
          <w:rFonts w:ascii="Candara" w:hAnsi="Candara"/>
          <w:sz w:val="24"/>
          <w:szCs w:val="24"/>
        </w:rPr>
      </w:pPr>
      <w:r w:rsidRPr="006C532E">
        <w:rPr>
          <w:rFonts w:ascii="Candara" w:hAnsi="Candara"/>
          <w:sz w:val="24"/>
          <w:szCs w:val="24"/>
        </w:rPr>
        <w:t xml:space="preserve">Il est à préciser que ce projet de loi, une fois adopté et publié au BO avant fin mai 2016, aura un impact systématique sur le classement du Maroc dans l’indicateur « Obtention de Prêt » dans la prochaine édition du rapport DB en lui permettant éventuellement de passer de la 109ième position au niveau mondial vers le top 30. </w:t>
      </w:r>
    </w:p>
    <w:p w:rsidR="004E4FDB" w:rsidRPr="006C532E" w:rsidRDefault="004E4FDB" w:rsidP="00CE0970">
      <w:pPr>
        <w:jc w:val="both"/>
        <w:rPr>
          <w:rFonts w:ascii="Candara" w:hAnsi="Candara"/>
          <w:sz w:val="24"/>
          <w:szCs w:val="24"/>
        </w:rPr>
      </w:pPr>
      <w:r w:rsidRPr="006C532E">
        <w:rPr>
          <w:rFonts w:ascii="Candara" w:hAnsi="Candara"/>
          <w:sz w:val="24"/>
          <w:szCs w:val="24"/>
        </w:rPr>
        <w:lastRenderedPageBreak/>
        <w:t xml:space="preserve">NB : l’indicateur « Obtention de Prêt » du rapport DB évalue la protection juridique des emprunteurs et des prêteurs dans le cadre des transactions sécurisées ainsi que le reportage des informations sur le crédit. La première série d’indicateurs étudie si certaines mesures facilitant les prêts existent au sein des lois applicables sur le nantissement et la faillite. La seconde série mesure la couverture, l’étendue et l’accessibilité des informations sur le crédit disponible par les agences d'évaluation du crédit, tels que les bureaux de crédit ou les registres de crédit. </w:t>
      </w:r>
    </w:p>
    <w:p w:rsidR="004E4FDB" w:rsidRPr="006C532E" w:rsidRDefault="004E4FDB" w:rsidP="004E4FDB">
      <w:pPr>
        <w:jc w:val="both"/>
        <w:rPr>
          <w:rFonts w:ascii="Candara" w:hAnsi="Candara"/>
          <w:sz w:val="24"/>
          <w:szCs w:val="24"/>
        </w:rPr>
      </w:pPr>
      <w:r w:rsidRPr="006C532E">
        <w:rPr>
          <w:rFonts w:ascii="Candara" w:hAnsi="Candara"/>
          <w:b/>
          <w:bCs/>
          <w:i/>
          <w:iCs/>
          <w:sz w:val="24"/>
          <w:szCs w:val="24"/>
          <w:u w:val="single"/>
        </w:rPr>
        <w:t>Règlement de l'insolvabilité </w:t>
      </w:r>
      <w:r w:rsidR="00CE0970" w:rsidRPr="006C532E">
        <w:rPr>
          <w:rFonts w:ascii="Candara" w:hAnsi="Candara"/>
          <w:b/>
          <w:bCs/>
          <w:i/>
          <w:iCs/>
          <w:sz w:val="24"/>
          <w:szCs w:val="24"/>
          <w:u w:val="single"/>
        </w:rPr>
        <w:t xml:space="preserve">: </w:t>
      </w:r>
      <w:r w:rsidR="00CE0970" w:rsidRPr="006C532E">
        <w:rPr>
          <w:rFonts w:ascii="Candara" w:hAnsi="Candara"/>
          <w:sz w:val="24"/>
          <w:szCs w:val="24"/>
        </w:rPr>
        <w:t>Le</w:t>
      </w:r>
      <w:r w:rsidRPr="006C532E">
        <w:rPr>
          <w:rFonts w:ascii="Candara" w:hAnsi="Candara"/>
          <w:sz w:val="24"/>
          <w:szCs w:val="24"/>
        </w:rPr>
        <w:t xml:space="preserve"> projet de réforme du livre V du Code de Commerce est en cours de finalisation après sa publication sur la Site du SGG en janvier 2015. Il sera incessamment introduit dans le circuit d’adoption.</w:t>
      </w:r>
    </w:p>
    <w:p w:rsidR="004E4FDB" w:rsidRPr="006C532E" w:rsidRDefault="004E4FDB" w:rsidP="004E4FDB">
      <w:pPr>
        <w:jc w:val="both"/>
        <w:rPr>
          <w:rFonts w:ascii="Candara" w:hAnsi="Candara"/>
          <w:sz w:val="24"/>
          <w:szCs w:val="24"/>
        </w:rPr>
      </w:pPr>
      <w:r w:rsidRPr="006C532E">
        <w:rPr>
          <w:rFonts w:ascii="Candara" w:hAnsi="Candara"/>
          <w:sz w:val="24"/>
          <w:szCs w:val="24"/>
        </w:rPr>
        <w:t>Cette réforme introduit un changement important dans la procédure de l’insolvabilité. elle est de nature à introduire une nette amélioration au niveau de la procédure de règlement de l’insolvabilité des entreprises et à remédier aux insuffisances et aux lacunes du texte en vigueur tout en s’inspirant des meilleurs pratiques au niveau international et aux principes généraux de la CNUDCI, de la Banque Mondiale ..</w:t>
      </w:r>
    </w:p>
    <w:p w:rsidR="004E4FDB" w:rsidRPr="006C532E" w:rsidRDefault="004E4FDB" w:rsidP="004E4FDB">
      <w:pPr>
        <w:jc w:val="both"/>
        <w:rPr>
          <w:rFonts w:ascii="Candara" w:hAnsi="Candara"/>
          <w:sz w:val="24"/>
          <w:szCs w:val="24"/>
        </w:rPr>
      </w:pPr>
      <w:r w:rsidRPr="006C532E">
        <w:rPr>
          <w:rFonts w:ascii="Candara" w:hAnsi="Candara"/>
          <w:sz w:val="24"/>
          <w:szCs w:val="24"/>
        </w:rPr>
        <w:t>La mise en œuvre de cette réforme aura un impact significatif sur l’amélioration de notre classement dans le DB prochain et permettra d’améliorer notre classement dans cet indicateur en passant de la 130ième position au top 50.</w:t>
      </w:r>
    </w:p>
    <w:p w:rsidR="001B7B41" w:rsidRPr="006C532E" w:rsidRDefault="004E4FDB" w:rsidP="004E4FDB">
      <w:pPr>
        <w:jc w:val="both"/>
        <w:rPr>
          <w:rFonts w:ascii="Candara" w:hAnsi="Candara"/>
          <w:sz w:val="24"/>
          <w:szCs w:val="24"/>
        </w:rPr>
      </w:pPr>
      <w:r w:rsidRPr="006C532E">
        <w:rPr>
          <w:rFonts w:ascii="Candara" w:hAnsi="Candara"/>
          <w:sz w:val="24"/>
          <w:szCs w:val="24"/>
        </w:rPr>
        <w:t>NB : l’indicateur « Règlement de l’insolvabilité » évalue le coût et le résultat des procédures d’insolvabilité pour les entreprises nationales, et la solidité du cadre juridique applicable aux procédures de liquidation et de redressement judiciaires. Les données pour les indicateurs sur le règlement de l’insolvabilité ont été obtenues à partir des réponses aux enquêtes fournies par des avocats et des administrateurs judiciaires locaux, et vérifiées au moyen d’une étude des lois et réglementations en vigueur, ainsi que des informations publiques concernant les procédures d’insolvabilité.</w:t>
      </w:r>
    </w:p>
    <w:sectPr w:rsidR="001B7B41" w:rsidRPr="006C532E" w:rsidSect="003100AC">
      <w:headerReference w:type="default" r:id="rId12"/>
      <w:footerReference w:type="default" r:id="rId13"/>
      <w:pgSz w:w="11906" w:h="16838" w:code="9"/>
      <w:pgMar w:top="2268" w:right="1417" w:bottom="1702"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31" w:rsidRDefault="00273F31" w:rsidP="003100AC">
      <w:pPr>
        <w:spacing w:after="0" w:line="240" w:lineRule="auto"/>
      </w:pPr>
      <w:r>
        <w:separator/>
      </w:r>
    </w:p>
  </w:endnote>
  <w:endnote w:type="continuationSeparator" w:id="0">
    <w:p w:rsidR="00273F31" w:rsidRDefault="00273F31" w:rsidP="00310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egoe UI Semilight">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3100AC">
      <w:trPr>
        <w:trHeight w:val="151"/>
      </w:trPr>
      <w:tc>
        <w:tcPr>
          <w:tcW w:w="2250" w:type="pct"/>
          <w:tcBorders>
            <w:bottom w:val="single" w:sz="4" w:space="0" w:color="5B9BD5" w:themeColor="accent1"/>
          </w:tcBorders>
        </w:tcPr>
        <w:p w:rsidR="003100AC" w:rsidRDefault="003100AC">
          <w:pPr>
            <w:pStyle w:val="En-tte"/>
            <w:rPr>
              <w:rFonts w:asciiTheme="majorHAnsi" w:eastAsiaTheme="majorEastAsia" w:hAnsiTheme="majorHAnsi" w:cstheme="majorBidi"/>
              <w:b/>
              <w:bCs/>
            </w:rPr>
          </w:pPr>
        </w:p>
      </w:tc>
      <w:tc>
        <w:tcPr>
          <w:tcW w:w="500" w:type="pct"/>
          <w:vMerge w:val="restart"/>
          <w:noWrap/>
          <w:vAlign w:val="center"/>
        </w:tcPr>
        <w:p w:rsidR="003100AC" w:rsidRDefault="003100AC">
          <w:pPr>
            <w:pStyle w:val="Sansinterligne"/>
            <w:rPr>
              <w:rFonts w:asciiTheme="majorHAnsi" w:hAnsiTheme="majorHAnsi"/>
            </w:rPr>
          </w:pPr>
          <w:r>
            <w:rPr>
              <w:rFonts w:asciiTheme="majorHAnsi" w:hAnsiTheme="majorHAnsi"/>
              <w:b/>
            </w:rPr>
            <w:t xml:space="preserve">Page </w:t>
          </w:r>
          <w:fldSimple w:instr=" PAGE  \* MERGEFORMAT ">
            <w:r w:rsidRPr="003100AC">
              <w:rPr>
                <w:rFonts w:asciiTheme="majorHAnsi" w:hAnsiTheme="majorHAnsi"/>
                <w:b/>
                <w:noProof/>
              </w:rPr>
              <w:t>1</w:t>
            </w:r>
          </w:fldSimple>
        </w:p>
      </w:tc>
      <w:tc>
        <w:tcPr>
          <w:tcW w:w="2250" w:type="pct"/>
          <w:tcBorders>
            <w:bottom w:val="single" w:sz="4" w:space="0" w:color="5B9BD5" w:themeColor="accent1"/>
          </w:tcBorders>
        </w:tcPr>
        <w:p w:rsidR="003100AC" w:rsidRDefault="003100AC">
          <w:pPr>
            <w:pStyle w:val="En-tte"/>
            <w:rPr>
              <w:rFonts w:asciiTheme="majorHAnsi" w:eastAsiaTheme="majorEastAsia" w:hAnsiTheme="majorHAnsi" w:cstheme="majorBidi"/>
              <w:b/>
              <w:bCs/>
            </w:rPr>
          </w:pPr>
        </w:p>
      </w:tc>
    </w:tr>
    <w:tr w:rsidR="003100AC">
      <w:trPr>
        <w:trHeight w:val="150"/>
      </w:trPr>
      <w:tc>
        <w:tcPr>
          <w:tcW w:w="2250" w:type="pct"/>
          <w:tcBorders>
            <w:top w:val="single" w:sz="4" w:space="0" w:color="5B9BD5" w:themeColor="accent1"/>
          </w:tcBorders>
        </w:tcPr>
        <w:p w:rsidR="003100AC" w:rsidRDefault="003100AC">
          <w:pPr>
            <w:pStyle w:val="En-tte"/>
            <w:rPr>
              <w:rFonts w:asciiTheme="majorHAnsi" w:eastAsiaTheme="majorEastAsia" w:hAnsiTheme="majorHAnsi" w:cstheme="majorBidi"/>
              <w:b/>
              <w:bCs/>
            </w:rPr>
          </w:pPr>
        </w:p>
      </w:tc>
      <w:tc>
        <w:tcPr>
          <w:tcW w:w="500" w:type="pct"/>
          <w:vMerge/>
        </w:tcPr>
        <w:p w:rsidR="003100AC" w:rsidRDefault="003100AC">
          <w:pPr>
            <w:pStyle w:val="En-tte"/>
            <w:jc w:val="center"/>
            <w:rPr>
              <w:rFonts w:asciiTheme="majorHAnsi" w:eastAsiaTheme="majorEastAsia" w:hAnsiTheme="majorHAnsi" w:cstheme="majorBidi"/>
              <w:b/>
              <w:bCs/>
            </w:rPr>
          </w:pPr>
        </w:p>
      </w:tc>
      <w:tc>
        <w:tcPr>
          <w:tcW w:w="2250" w:type="pct"/>
          <w:tcBorders>
            <w:top w:val="single" w:sz="4" w:space="0" w:color="5B9BD5" w:themeColor="accent1"/>
          </w:tcBorders>
        </w:tcPr>
        <w:p w:rsidR="003100AC" w:rsidRDefault="003100AC">
          <w:pPr>
            <w:pStyle w:val="En-tte"/>
            <w:rPr>
              <w:rFonts w:asciiTheme="majorHAnsi" w:eastAsiaTheme="majorEastAsia" w:hAnsiTheme="majorHAnsi" w:cstheme="majorBidi"/>
              <w:b/>
              <w:bCs/>
            </w:rPr>
          </w:pPr>
        </w:p>
      </w:tc>
    </w:tr>
  </w:tbl>
  <w:p w:rsidR="003100AC" w:rsidRDefault="003100A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31" w:rsidRDefault="00273F31" w:rsidP="003100AC">
      <w:pPr>
        <w:spacing w:after="0" w:line="240" w:lineRule="auto"/>
      </w:pPr>
      <w:r>
        <w:separator/>
      </w:r>
    </w:p>
  </w:footnote>
  <w:footnote w:type="continuationSeparator" w:id="0">
    <w:p w:rsidR="00273F31" w:rsidRDefault="00273F31" w:rsidP="00310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0AC" w:rsidRDefault="003100AC" w:rsidP="003100AC">
    <w:pPr>
      <w:pStyle w:val="En-tte"/>
      <w:jc w:val="center"/>
    </w:pPr>
    <w:r w:rsidRPr="003100AC">
      <w:drawing>
        <wp:inline distT="0" distB="0" distL="0" distR="0">
          <wp:extent cx="3981450" cy="781050"/>
          <wp:effectExtent l="19050" t="0" r="0" b="0"/>
          <wp:docPr id="2" name="Image 1" descr="C:\Users\KHAIL\Desktop\CNEA\Orga &amp; Restructuration\Outils- Orga\LOGO C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IL\Desktop\CNEA\Orga &amp; Restructuration\Outils- Orga\LOGO CNEA.jpg"/>
                  <pic:cNvPicPr>
                    <a:picLocks noChangeAspect="1" noChangeArrowheads="1"/>
                  </pic:cNvPicPr>
                </pic:nvPicPr>
                <pic:blipFill>
                  <a:blip r:embed="rId1">
                    <a:lum bright="-10000"/>
                  </a:blip>
                  <a:srcRect/>
                  <a:stretch>
                    <a:fillRect/>
                  </a:stretch>
                </pic:blipFill>
                <pic:spPr bwMode="auto">
                  <a:xfrm>
                    <a:off x="0" y="0"/>
                    <a:ext cx="3983110" cy="7813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B4D"/>
    <w:multiLevelType w:val="hybridMultilevel"/>
    <w:tmpl w:val="A7F883DC"/>
    <w:lvl w:ilvl="0" w:tplc="36AE1BBE">
      <w:start w:val="1"/>
      <w:numFmt w:val="bullet"/>
      <w:lvlText w:val="•"/>
      <w:lvlJc w:val="left"/>
      <w:pPr>
        <w:tabs>
          <w:tab w:val="num" w:pos="720"/>
        </w:tabs>
        <w:ind w:left="720" w:hanging="360"/>
      </w:pPr>
      <w:rPr>
        <w:rFonts w:ascii="Times New Roman" w:hAnsi="Times New Roman" w:hint="default"/>
      </w:rPr>
    </w:lvl>
    <w:lvl w:ilvl="1" w:tplc="9D149596" w:tentative="1">
      <w:start w:val="1"/>
      <w:numFmt w:val="bullet"/>
      <w:lvlText w:val="•"/>
      <w:lvlJc w:val="left"/>
      <w:pPr>
        <w:tabs>
          <w:tab w:val="num" w:pos="1440"/>
        </w:tabs>
        <w:ind w:left="1440" w:hanging="360"/>
      </w:pPr>
      <w:rPr>
        <w:rFonts w:ascii="Times New Roman" w:hAnsi="Times New Roman" w:hint="default"/>
      </w:rPr>
    </w:lvl>
    <w:lvl w:ilvl="2" w:tplc="0BB201EA" w:tentative="1">
      <w:start w:val="1"/>
      <w:numFmt w:val="bullet"/>
      <w:lvlText w:val="•"/>
      <w:lvlJc w:val="left"/>
      <w:pPr>
        <w:tabs>
          <w:tab w:val="num" w:pos="2160"/>
        </w:tabs>
        <w:ind w:left="2160" w:hanging="360"/>
      </w:pPr>
      <w:rPr>
        <w:rFonts w:ascii="Times New Roman" w:hAnsi="Times New Roman" w:hint="default"/>
      </w:rPr>
    </w:lvl>
    <w:lvl w:ilvl="3" w:tplc="EA1A8C36" w:tentative="1">
      <w:start w:val="1"/>
      <w:numFmt w:val="bullet"/>
      <w:lvlText w:val="•"/>
      <w:lvlJc w:val="left"/>
      <w:pPr>
        <w:tabs>
          <w:tab w:val="num" w:pos="2880"/>
        </w:tabs>
        <w:ind w:left="2880" w:hanging="360"/>
      </w:pPr>
      <w:rPr>
        <w:rFonts w:ascii="Times New Roman" w:hAnsi="Times New Roman" w:hint="default"/>
      </w:rPr>
    </w:lvl>
    <w:lvl w:ilvl="4" w:tplc="712AD764" w:tentative="1">
      <w:start w:val="1"/>
      <w:numFmt w:val="bullet"/>
      <w:lvlText w:val="•"/>
      <w:lvlJc w:val="left"/>
      <w:pPr>
        <w:tabs>
          <w:tab w:val="num" w:pos="3600"/>
        </w:tabs>
        <w:ind w:left="3600" w:hanging="360"/>
      </w:pPr>
      <w:rPr>
        <w:rFonts w:ascii="Times New Roman" w:hAnsi="Times New Roman" w:hint="default"/>
      </w:rPr>
    </w:lvl>
    <w:lvl w:ilvl="5" w:tplc="ACC45D2C" w:tentative="1">
      <w:start w:val="1"/>
      <w:numFmt w:val="bullet"/>
      <w:lvlText w:val="•"/>
      <w:lvlJc w:val="left"/>
      <w:pPr>
        <w:tabs>
          <w:tab w:val="num" w:pos="4320"/>
        </w:tabs>
        <w:ind w:left="4320" w:hanging="360"/>
      </w:pPr>
      <w:rPr>
        <w:rFonts w:ascii="Times New Roman" w:hAnsi="Times New Roman" w:hint="default"/>
      </w:rPr>
    </w:lvl>
    <w:lvl w:ilvl="6" w:tplc="D72EBE66" w:tentative="1">
      <w:start w:val="1"/>
      <w:numFmt w:val="bullet"/>
      <w:lvlText w:val="•"/>
      <w:lvlJc w:val="left"/>
      <w:pPr>
        <w:tabs>
          <w:tab w:val="num" w:pos="5040"/>
        </w:tabs>
        <w:ind w:left="5040" w:hanging="360"/>
      </w:pPr>
      <w:rPr>
        <w:rFonts w:ascii="Times New Roman" w:hAnsi="Times New Roman" w:hint="default"/>
      </w:rPr>
    </w:lvl>
    <w:lvl w:ilvl="7" w:tplc="C656597C" w:tentative="1">
      <w:start w:val="1"/>
      <w:numFmt w:val="bullet"/>
      <w:lvlText w:val="•"/>
      <w:lvlJc w:val="left"/>
      <w:pPr>
        <w:tabs>
          <w:tab w:val="num" w:pos="5760"/>
        </w:tabs>
        <w:ind w:left="5760" w:hanging="360"/>
      </w:pPr>
      <w:rPr>
        <w:rFonts w:ascii="Times New Roman" w:hAnsi="Times New Roman" w:hint="default"/>
      </w:rPr>
    </w:lvl>
    <w:lvl w:ilvl="8" w:tplc="5C743F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FC1A83"/>
    <w:multiLevelType w:val="hybridMultilevel"/>
    <w:tmpl w:val="87CE7868"/>
    <w:lvl w:ilvl="0" w:tplc="CFACA3F6">
      <w:start w:val="1"/>
      <w:numFmt w:val="bullet"/>
      <w:lvlText w:val="•"/>
      <w:lvlJc w:val="left"/>
      <w:pPr>
        <w:tabs>
          <w:tab w:val="num" w:pos="720"/>
        </w:tabs>
        <w:ind w:left="720" w:hanging="360"/>
      </w:pPr>
      <w:rPr>
        <w:rFonts w:ascii="Times New Roman" w:hAnsi="Times New Roman" w:hint="default"/>
      </w:rPr>
    </w:lvl>
    <w:lvl w:ilvl="1" w:tplc="C254CC1E" w:tentative="1">
      <w:start w:val="1"/>
      <w:numFmt w:val="bullet"/>
      <w:lvlText w:val="•"/>
      <w:lvlJc w:val="left"/>
      <w:pPr>
        <w:tabs>
          <w:tab w:val="num" w:pos="1440"/>
        </w:tabs>
        <w:ind w:left="1440" w:hanging="360"/>
      </w:pPr>
      <w:rPr>
        <w:rFonts w:ascii="Times New Roman" w:hAnsi="Times New Roman" w:hint="default"/>
      </w:rPr>
    </w:lvl>
    <w:lvl w:ilvl="2" w:tplc="3202DC96" w:tentative="1">
      <w:start w:val="1"/>
      <w:numFmt w:val="bullet"/>
      <w:lvlText w:val="•"/>
      <w:lvlJc w:val="left"/>
      <w:pPr>
        <w:tabs>
          <w:tab w:val="num" w:pos="2160"/>
        </w:tabs>
        <w:ind w:left="2160" w:hanging="360"/>
      </w:pPr>
      <w:rPr>
        <w:rFonts w:ascii="Times New Roman" w:hAnsi="Times New Roman" w:hint="default"/>
      </w:rPr>
    </w:lvl>
    <w:lvl w:ilvl="3" w:tplc="0E1A6EEC" w:tentative="1">
      <w:start w:val="1"/>
      <w:numFmt w:val="bullet"/>
      <w:lvlText w:val="•"/>
      <w:lvlJc w:val="left"/>
      <w:pPr>
        <w:tabs>
          <w:tab w:val="num" w:pos="2880"/>
        </w:tabs>
        <w:ind w:left="2880" w:hanging="360"/>
      </w:pPr>
      <w:rPr>
        <w:rFonts w:ascii="Times New Roman" w:hAnsi="Times New Roman" w:hint="default"/>
      </w:rPr>
    </w:lvl>
    <w:lvl w:ilvl="4" w:tplc="B97C7C8E" w:tentative="1">
      <w:start w:val="1"/>
      <w:numFmt w:val="bullet"/>
      <w:lvlText w:val="•"/>
      <w:lvlJc w:val="left"/>
      <w:pPr>
        <w:tabs>
          <w:tab w:val="num" w:pos="3600"/>
        </w:tabs>
        <w:ind w:left="3600" w:hanging="360"/>
      </w:pPr>
      <w:rPr>
        <w:rFonts w:ascii="Times New Roman" w:hAnsi="Times New Roman" w:hint="default"/>
      </w:rPr>
    </w:lvl>
    <w:lvl w:ilvl="5" w:tplc="DD98A45C" w:tentative="1">
      <w:start w:val="1"/>
      <w:numFmt w:val="bullet"/>
      <w:lvlText w:val="•"/>
      <w:lvlJc w:val="left"/>
      <w:pPr>
        <w:tabs>
          <w:tab w:val="num" w:pos="4320"/>
        </w:tabs>
        <w:ind w:left="4320" w:hanging="360"/>
      </w:pPr>
      <w:rPr>
        <w:rFonts w:ascii="Times New Roman" w:hAnsi="Times New Roman" w:hint="default"/>
      </w:rPr>
    </w:lvl>
    <w:lvl w:ilvl="6" w:tplc="EE3E7E28" w:tentative="1">
      <w:start w:val="1"/>
      <w:numFmt w:val="bullet"/>
      <w:lvlText w:val="•"/>
      <w:lvlJc w:val="left"/>
      <w:pPr>
        <w:tabs>
          <w:tab w:val="num" w:pos="5040"/>
        </w:tabs>
        <w:ind w:left="5040" w:hanging="360"/>
      </w:pPr>
      <w:rPr>
        <w:rFonts w:ascii="Times New Roman" w:hAnsi="Times New Roman" w:hint="default"/>
      </w:rPr>
    </w:lvl>
    <w:lvl w:ilvl="7" w:tplc="387EABB8" w:tentative="1">
      <w:start w:val="1"/>
      <w:numFmt w:val="bullet"/>
      <w:lvlText w:val="•"/>
      <w:lvlJc w:val="left"/>
      <w:pPr>
        <w:tabs>
          <w:tab w:val="num" w:pos="5760"/>
        </w:tabs>
        <w:ind w:left="5760" w:hanging="360"/>
      </w:pPr>
      <w:rPr>
        <w:rFonts w:ascii="Times New Roman" w:hAnsi="Times New Roman" w:hint="default"/>
      </w:rPr>
    </w:lvl>
    <w:lvl w:ilvl="8" w:tplc="280E0A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D52247"/>
    <w:multiLevelType w:val="hybridMultilevel"/>
    <w:tmpl w:val="76924124"/>
    <w:lvl w:ilvl="0" w:tplc="58F8AFDC">
      <w:start w:val="1"/>
      <w:numFmt w:val="bullet"/>
      <w:lvlText w:val="•"/>
      <w:lvlJc w:val="left"/>
      <w:pPr>
        <w:tabs>
          <w:tab w:val="num" w:pos="720"/>
        </w:tabs>
        <w:ind w:left="720" w:hanging="360"/>
      </w:pPr>
      <w:rPr>
        <w:rFonts w:ascii="Times New Roman" w:hAnsi="Times New Roman" w:hint="default"/>
      </w:rPr>
    </w:lvl>
    <w:lvl w:ilvl="1" w:tplc="0EC4F5C0" w:tentative="1">
      <w:start w:val="1"/>
      <w:numFmt w:val="bullet"/>
      <w:lvlText w:val="•"/>
      <w:lvlJc w:val="left"/>
      <w:pPr>
        <w:tabs>
          <w:tab w:val="num" w:pos="1440"/>
        </w:tabs>
        <w:ind w:left="1440" w:hanging="360"/>
      </w:pPr>
      <w:rPr>
        <w:rFonts w:ascii="Times New Roman" w:hAnsi="Times New Roman" w:hint="default"/>
      </w:rPr>
    </w:lvl>
    <w:lvl w:ilvl="2" w:tplc="7E04DE44" w:tentative="1">
      <w:start w:val="1"/>
      <w:numFmt w:val="bullet"/>
      <w:lvlText w:val="•"/>
      <w:lvlJc w:val="left"/>
      <w:pPr>
        <w:tabs>
          <w:tab w:val="num" w:pos="2160"/>
        </w:tabs>
        <w:ind w:left="2160" w:hanging="360"/>
      </w:pPr>
      <w:rPr>
        <w:rFonts w:ascii="Times New Roman" w:hAnsi="Times New Roman" w:hint="default"/>
      </w:rPr>
    </w:lvl>
    <w:lvl w:ilvl="3" w:tplc="57560890" w:tentative="1">
      <w:start w:val="1"/>
      <w:numFmt w:val="bullet"/>
      <w:lvlText w:val="•"/>
      <w:lvlJc w:val="left"/>
      <w:pPr>
        <w:tabs>
          <w:tab w:val="num" w:pos="2880"/>
        </w:tabs>
        <w:ind w:left="2880" w:hanging="360"/>
      </w:pPr>
      <w:rPr>
        <w:rFonts w:ascii="Times New Roman" w:hAnsi="Times New Roman" w:hint="default"/>
      </w:rPr>
    </w:lvl>
    <w:lvl w:ilvl="4" w:tplc="CD26C33E" w:tentative="1">
      <w:start w:val="1"/>
      <w:numFmt w:val="bullet"/>
      <w:lvlText w:val="•"/>
      <w:lvlJc w:val="left"/>
      <w:pPr>
        <w:tabs>
          <w:tab w:val="num" w:pos="3600"/>
        </w:tabs>
        <w:ind w:left="3600" w:hanging="360"/>
      </w:pPr>
      <w:rPr>
        <w:rFonts w:ascii="Times New Roman" w:hAnsi="Times New Roman" w:hint="default"/>
      </w:rPr>
    </w:lvl>
    <w:lvl w:ilvl="5" w:tplc="B15C8560" w:tentative="1">
      <w:start w:val="1"/>
      <w:numFmt w:val="bullet"/>
      <w:lvlText w:val="•"/>
      <w:lvlJc w:val="left"/>
      <w:pPr>
        <w:tabs>
          <w:tab w:val="num" w:pos="4320"/>
        </w:tabs>
        <w:ind w:left="4320" w:hanging="360"/>
      </w:pPr>
      <w:rPr>
        <w:rFonts w:ascii="Times New Roman" w:hAnsi="Times New Roman" w:hint="default"/>
      </w:rPr>
    </w:lvl>
    <w:lvl w:ilvl="6" w:tplc="576C5368" w:tentative="1">
      <w:start w:val="1"/>
      <w:numFmt w:val="bullet"/>
      <w:lvlText w:val="•"/>
      <w:lvlJc w:val="left"/>
      <w:pPr>
        <w:tabs>
          <w:tab w:val="num" w:pos="5040"/>
        </w:tabs>
        <w:ind w:left="5040" w:hanging="360"/>
      </w:pPr>
      <w:rPr>
        <w:rFonts w:ascii="Times New Roman" w:hAnsi="Times New Roman" w:hint="default"/>
      </w:rPr>
    </w:lvl>
    <w:lvl w:ilvl="7" w:tplc="37FC0BAC" w:tentative="1">
      <w:start w:val="1"/>
      <w:numFmt w:val="bullet"/>
      <w:lvlText w:val="•"/>
      <w:lvlJc w:val="left"/>
      <w:pPr>
        <w:tabs>
          <w:tab w:val="num" w:pos="5760"/>
        </w:tabs>
        <w:ind w:left="5760" w:hanging="360"/>
      </w:pPr>
      <w:rPr>
        <w:rFonts w:ascii="Times New Roman" w:hAnsi="Times New Roman" w:hint="default"/>
      </w:rPr>
    </w:lvl>
    <w:lvl w:ilvl="8" w:tplc="4B78AE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AF3315"/>
    <w:multiLevelType w:val="hybridMultilevel"/>
    <w:tmpl w:val="CD5E1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BE0614"/>
    <w:multiLevelType w:val="multilevel"/>
    <w:tmpl w:val="8CDA2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86465"/>
    <w:multiLevelType w:val="hybridMultilevel"/>
    <w:tmpl w:val="A920D796"/>
    <w:lvl w:ilvl="0" w:tplc="44469AE8">
      <w:start w:val="1"/>
      <w:numFmt w:val="bullet"/>
      <w:lvlText w:val="•"/>
      <w:lvlJc w:val="left"/>
      <w:pPr>
        <w:tabs>
          <w:tab w:val="num" w:pos="720"/>
        </w:tabs>
        <w:ind w:left="720" w:hanging="360"/>
      </w:pPr>
      <w:rPr>
        <w:rFonts w:ascii="Times New Roman" w:hAnsi="Times New Roman" w:hint="default"/>
      </w:rPr>
    </w:lvl>
    <w:lvl w:ilvl="1" w:tplc="434E64BC" w:tentative="1">
      <w:start w:val="1"/>
      <w:numFmt w:val="bullet"/>
      <w:lvlText w:val="•"/>
      <w:lvlJc w:val="left"/>
      <w:pPr>
        <w:tabs>
          <w:tab w:val="num" w:pos="1440"/>
        </w:tabs>
        <w:ind w:left="1440" w:hanging="360"/>
      </w:pPr>
      <w:rPr>
        <w:rFonts w:ascii="Times New Roman" w:hAnsi="Times New Roman" w:hint="default"/>
      </w:rPr>
    </w:lvl>
    <w:lvl w:ilvl="2" w:tplc="FDBC983C" w:tentative="1">
      <w:start w:val="1"/>
      <w:numFmt w:val="bullet"/>
      <w:lvlText w:val="•"/>
      <w:lvlJc w:val="left"/>
      <w:pPr>
        <w:tabs>
          <w:tab w:val="num" w:pos="2160"/>
        </w:tabs>
        <w:ind w:left="2160" w:hanging="360"/>
      </w:pPr>
      <w:rPr>
        <w:rFonts w:ascii="Times New Roman" w:hAnsi="Times New Roman" w:hint="default"/>
      </w:rPr>
    </w:lvl>
    <w:lvl w:ilvl="3" w:tplc="C7A8F206" w:tentative="1">
      <w:start w:val="1"/>
      <w:numFmt w:val="bullet"/>
      <w:lvlText w:val="•"/>
      <w:lvlJc w:val="left"/>
      <w:pPr>
        <w:tabs>
          <w:tab w:val="num" w:pos="2880"/>
        </w:tabs>
        <w:ind w:left="2880" w:hanging="360"/>
      </w:pPr>
      <w:rPr>
        <w:rFonts w:ascii="Times New Roman" w:hAnsi="Times New Roman" w:hint="default"/>
      </w:rPr>
    </w:lvl>
    <w:lvl w:ilvl="4" w:tplc="67C0BEC2" w:tentative="1">
      <w:start w:val="1"/>
      <w:numFmt w:val="bullet"/>
      <w:lvlText w:val="•"/>
      <w:lvlJc w:val="left"/>
      <w:pPr>
        <w:tabs>
          <w:tab w:val="num" w:pos="3600"/>
        </w:tabs>
        <w:ind w:left="3600" w:hanging="360"/>
      </w:pPr>
      <w:rPr>
        <w:rFonts w:ascii="Times New Roman" w:hAnsi="Times New Roman" w:hint="default"/>
      </w:rPr>
    </w:lvl>
    <w:lvl w:ilvl="5" w:tplc="912A9ECA" w:tentative="1">
      <w:start w:val="1"/>
      <w:numFmt w:val="bullet"/>
      <w:lvlText w:val="•"/>
      <w:lvlJc w:val="left"/>
      <w:pPr>
        <w:tabs>
          <w:tab w:val="num" w:pos="4320"/>
        </w:tabs>
        <w:ind w:left="4320" w:hanging="360"/>
      </w:pPr>
      <w:rPr>
        <w:rFonts w:ascii="Times New Roman" w:hAnsi="Times New Roman" w:hint="default"/>
      </w:rPr>
    </w:lvl>
    <w:lvl w:ilvl="6" w:tplc="454256CA" w:tentative="1">
      <w:start w:val="1"/>
      <w:numFmt w:val="bullet"/>
      <w:lvlText w:val="•"/>
      <w:lvlJc w:val="left"/>
      <w:pPr>
        <w:tabs>
          <w:tab w:val="num" w:pos="5040"/>
        </w:tabs>
        <w:ind w:left="5040" w:hanging="360"/>
      </w:pPr>
      <w:rPr>
        <w:rFonts w:ascii="Times New Roman" w:hAnsi="Times New Roman" w:hint="default"/>
      </w:rPr>
    </w:lvl>
    <w:lvl w:ilvl="7" w:tplc="E514D4B4" w:tentative="1">
      <w:start w:val="1"/>
      <w:numFmt w:val="bullet"/>
      <w:lvlText w:val="•"/>
      <w:lvlJc w:val="left"/>
      <w:pPr>
        <w:tabs>
          <w:tab w:val="num" w:pos="5760"/>
        </w:tabs>
        <w:ind w:left="5760" w:hanging="360"/>
      </w:pPr>
      <w:rPr>
        <w:rFonts w:ascii="Times New Roman" w:hAnsi="Times New Roman" w:hint="default"/>
      </w:rPr>
    </w:lvl>
    <w:lvl w:ilvl="8" w:tplc="A2DEBE4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2063460"/>
    <w:multiLevelType w:val="hybridMultilevel"/>
    <w:tmpl w:val="610A221A"/>
    <w:lvl w:ilvl="0" w:tplc="945C2360">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284872"/>
    <w:multiLevelType w:val="hybridMultilevel"/>
    <w:tmpl w:val="FE70A534"/>
    <w:lvl w:ilvl="0" w:tplc="95847ED4">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E36C05"/>
    <w:multiLevelType w:val="hybridMultilevel"/>
    <w:tmpl w:val="A4803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7849AB"/>
    <w:multiLevelType w:val="hybridMultilevel"/>
    <w:tmpl w:val="D0108742"/>
    <w:lvl w:ilvl="0" w:tplc="552A8468">
      <w:start w:val="1"/>
      <w:numFmt w:val="bullet"/>
      <w:lvlText w:val="•"/>
      <w:lvlJc w:val="left"/>
      <w:pPr>
        <w:tabs>
          <w:tab w:val="num" w:pos="720"/>
        </w:tabs>
        <w:ind w:left="720" w:hanging="360"/>
      </w:pPr>
      <w:rPr>
        <w:rFonts w:ascii="Times New Roman" w:hAnsi="Times New Roman" w:hint="default"/>
      </w:rPr>
    </w:lvl>
    <w:lvl w:ilvl="1" w:tplc="1D884FF6" w:tentative="1">
      <w:start w:val="1"/>
      <w:numFmt w:val="bullet"/>
      <w:lvlText w:val="•"/>
      <w:lvlJc w:val="left"/>
      <w:pPr>
        <w:tabs>
          <w:tab w:val="num" w:pos="1440"/>
        </w:tabs>
        <w:ind w:left="1440" w:hanging="360"/>
      </w:pPr>
      <w:rPr>
        <w:rFonts w:ascii="Times New Roman" w:hAnsi="Times New Roman" w:hint="default"/>
      </w:rPr>
    </w:lvl>
    <w:lvl w:ilvl="2" w:tplc="F970E872" w:tentative="1">
      <w:start w:val="1"/>
      <w:numFmt w:val="bullet"/>
      <w:lvlText w:val="•"/>
      <w:lvlJc w:val="left"/>
      <w:pPr>
        <w:tabs>
          <w:tab w:val="num" w:pos="2160"/>
        </w:tabs>
        <w:ind w:left="2160" w:hanging="360"/>
      </w:pPr>
      <w:rPr>
        <w:rFonts w:ascii="Times New Roman" w:hAnsi="Times New Roman" w:hint="default"/>
      </w:rPr>
    </w:lvl>
    <w:lvl w:ilvl="3" w:tplc="DDF0B98E" w:tentative="1">
      <w:start w:val="1"/>
      <w:numFmt w:val="bullet"/>
      <w:lvlText w:val="•"/>
      <w:lvlJc w:val="left"/>
      <w:pPr>
        <w:tabs>
          <w:tab w:val="num" w:pos="2880"/>
        </w:tabs>
        <w:ind w:left="2880" w:hanging="360"/>
      </w:pPr>
      <w:rPr>
        <w:rFonts w:ascii="Times New Roman" w:hAnsi="Times New Roman" w:hint="default"/>
      </w:rPr>
    </w:lvl>
    <w:lvl w:ilvl="4" w:tplc="1402CED0" w:tentative="1">
      <w:start w:val="1"/>
      <w:numFmt w:val="bullet"/>
      <w:lvlText w:val="•"/>
      <w:lvlJc w:val="left"/>
      <w:pPr>
        <w:tabs>
          <w:tab w:val="num" w:pos="3600"/>
        </w:tabs>
        <w:ind w:left="3600" w:hanging="360"/>
      </w:pPr>
      <w:rPr>
        <w:rFonts w:ascii="Times New Roman" w:hAnsi="Times New Roman" w:hint="default"/>
      </w:rPr>
    </w:lvl>
    <w:lvl w:ilvl="5" w:tplc="BACE0C3E" w:tentative="1">
      <w:start w:val="1"/>
      <w:numFmt w:val="bullet"/>
      <w:lvlText w:val="•"/>
      <w:lvlJc w:val="left"/>
      <w:pPr>
        <w:tabs>
          <w:tab w:val="num" w:pos="4320"/>
        </w:tabs>
        <w:ind w:left="4320" w:hanging="360"/>
      </w:pPr>
      <w:rPr>
        <w:rFonts w:ascii="Times New Roman" w:hAnsi="Times New Roman" w:hint="default"/>
      </w:rPr>
    </w:lvl>
    <w:lvl w:ilvl="6" w:tplc="0506F4C6" w:tentative="1">
      <w:start w:val="1"/>
      <w:numFmt w:val="bullet"/>
      <w:lvlText w:val="•"/>
      <w:lvlJc w:val="left"/>
      <w:pPr>
        <w:tabs>
          <w:tab w:val="num" w:pos="5040"/>
        </w:tabs>
        <w:ind w:left="5040" w:hanging="360"/>
      </w:pPr>
      <w:rPr>
        <w:rFonts w:ascii="Times New Roman" w:hAnsi="Times New Roman" w:hint="default"/>
      </w:rPr>
    </w:lvl>
    <w:lvl w:ilvl="7" w:tplc="11D8DD6E" w:tentative="1">
      <w:start w:val="1"/>
      <w:numFmt w:val="bullet"/>
      <w:lvlText w:val="•"/>
      <w:lvlJc w:val="left"/>
      <w:pPr>
        <w:tabs>
          <w:tab w:val="num" w:pos="5760"/>
        </w:tabs>
        <w:ind w:left="5760" w:hanging="360"/>
      </w:pPr>
      <w:rPr>
        <w:rFonts w:ascii="Times New Roman" w:hAnsi="Times New Roman" w:hint="default"/>
      </w:rPr>
    </w:lvl>
    <w:lvl w:ilvl="8" w:tplc="412A4F3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6F761B"/>
    <w:multiLevelType w:val="hybridMultilevel"/>
    <w:tmpl w:val="822678A4"/>
    <w:lvl w:ilvl="0" w:tplc="C4522E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02E0331"/>
    <w:multiLevelType w:val="hybridMultilevel"/>
    <w:tmpl w:val="30C4565A"/>
    <w:lvl w:ilvl="0" w:tplc="44306670">
      <w:start w:val="1"/>
      <w:numFmt w:val="bullet"/>
      <w:lvlText w:val="•"/>
      <w:lvlJc w:val="left"/>
      <w:pPr>
        <w:tabs>
          <w:tab w:val="num" w:pos="720"/>
        </w:tabs>
        <w:ind w:left="720" w:hanging="360"/>
      </w:pPr>
      <w:rPr>
        <w:rFonts w:ascii="Times New Roman" w:hAnsi="Times New Roman" w:hint="default"/>
      </w:rPr>
    </w:lvl>
    <w:lvl w:ilvl="1" w:tplc="5BB8358C" w:tentative="1">
      <w:start w:val="1"/>
      <w:numFmt w:val="bullet"/>
      <w:lvlText w:val="•"/>
      <w:lvlJc w:val="left"/>
      <w:pPr>
        <w:tabs>
          <w:tab w:val="num" w:pos="1440"/>
        </w:tabs>
        <w:ind w:left="1440" w:hanging="360"/>
      </w:pPr>
      <w:rPr>
        <w:rFonts w:ascii="Times New Roman" w:hAnsi="Times New Roman" w:hint="default"/>
      </w:rPr>
    </w:lvl>
    <w:lvl w:ilvl="2" w:tplc="B71E88C6" w:tentative="1">
      <w:start w:val="1"/>
      <w:numFmt w:val="bullet"/>
      <w:lvlText w:val="•"/>
      <w:lvlJc w:val="left"/>
      <w:pPr>
        <w:tabs>
          <w:tab w:val="num" w:pos="2160"/>
        </w:tabs>
        <w:ind w:left="2160" w:hanging="360"/>
      </w:pPr>
      <w:rPr>
        <w:rFonts w:ascii="Times New Roman" w:hAnsi="Times New Roman" w:hint="default"/>
      </w:rPr>
    </w:lvl>
    <w:lvl w:ilvl="3" w:tplc="953A765E" w:tentative="1">
      <w:start w:val="1"/>
      <w:numFmt w:val="bullet"/>
      <w:lvlText w:val="•"/>
      <w:lvlJc w:val="left"/>
      <w:pPr>
        <w:tabs>
          <w:tab w:val="num" w:pos="2880"/>
        </w:tabs>
        <w:ind w:left="2880" w:hanging="360"/>
      </w:pPr>
      <w:rPr>
        <w:rFonts w:ascii="Times New Roman" w:hAnsi="Times New Roman" w:hint="default"/>
      </w:rPr>
    </w:lvl>
    <w:lvl w:ilvl="4" w:tplc="7B1A346C" w:tentative="1">
      <w:start w:val="1"/>
      <w:numFmt w:val="bullet"/>
      <w:lvlText w:val="•"/>
      <w:lvlJc w:val="left"/>
      <w:pPr>
        <w:tabs>
          <w:tab w:val="num" w:pos="3600"/>
        </w:tabs>
        <w:ind w:left="3600" w:hanging="360"/>
      </w:pPr>
      <w:rPr>
        <w:rFonts w:ascii="Times New Roman" w:hAnsi="Times New Roman" w:hint="default"/>
      </w:rPr>
    </w:lvl>
    <w:lvl w:ilvl="5" w:tplc="5EDC9C24" w:tentative="1">
      <w:start w:val="1"/>
      <w:numFmt w:val="bullet"/>
      <w:lvlText w:val="•"/>
      <w:lvlJc w:val="left"/>
      <w:pPr>
        <w:tabs>
          <w:tab w:val="num" w:pos="4320"/>
        </w:tabs>
        <w:ind w:left="4320" w:hanging="360"/>
      </w:pPr>
      <w:rPr>
        <w:rFonts w:ascii="Times New Roman" w:hAnsi="Times New Roman" w:hint="default"/>
      </w:rPr>
    </w:lvl>
    <w:lvl w:ilvl="6" w:tplc="93C46DA0" w:tentative="1">
      <w:start w:val="1"/>
      <w:numFmt w:val="bullet"/>
      <w:lvlText w:val="•"/>
      <w:lvlJc w:val="left"/>
      <w:pPr>
        <w:tabs>
          <w:tab w:val="num" w:pos="5040"/>
        </w:tabs>
        <w:ind w:left="5040" w:hanging="360"/>
      </w:pPr>
      <w:rPr>
        <w:rFonts w:ascii="Times New Roman" w:hAnsi="Times New Roman" w:hint="default"/>
      </w:rPr>
    </w:lvl>
    <w:lvl w:ilvl="7" w:tplc="16726194" w:tentative="1">
      <w:start w:val="1"/>
      <w:numFmt w:val="bullet"/>
      <w:lvlText w:val="•"/>
      <w:lvlJc w:val="left"/>
      <w:pPr>
        <w:tabs>
          <w:tab w:val="num" w:pos="5760"/>
        </w:tabs>
        <w:ind w:left="5760" w:hanging="360"/>
      </w:pPr>
      <w:rPr>
        <w:rFonts w:ascii="Times New Roman" w:hAnsi="Times New Roman" w:hint="default"/>
      </w:rPr>
    </w:lvl>
    <w:lvl w:ilvl="8" w:tplc="EA6A98A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45F3433"/>
    <w:multiLevelType w:val="hybridMultilevel"/>
    <w:tmpl w:val="B0DC635C"/>
    <w:lvl w:ilvl="0" w:tplc="5D0C02EE">
      <w:start w:val="1"/>
      <w:numFmt w:val="bullet"/>
      <w:lvlText w:val="•"/>
      <w:lvlJc w:val="left"/>
      <w:pPr>
        <w:tabs>
          <w:tab w:val="num" w:pos="720"/>
        </w:tabs>
        <w:ind w:left="720" w:hanging="360"/>
      </w:pPr>
      <w:rPr>
        <w:rFonts w:ascii="Times New Roman" w:hAnsi="Times New Roman" w:hint="default"/>
      </w:rPr>
    </w:lvl>
    <w:lvl w:ilvl="1" w:tplc="DDF4552C" w:tentative="1">
      <w:start w:val="1"/>
      <w:numFmt w:val="bullet"/>
      <w:lvlText w:val="•"/>
      <w:lvlJc w:val="left"/>
      <w:pPr>
        <w:tabs>
          <w:tab w:val="num" w:pos="1440"/>
        </w:tabs>
        <w:ind w:left="1440" w:hanging="360"/>
      </w:pPr>
      <w:rPr>
        <w:rFonts w:ascii="Times New Roman" w:hAnsi="Times New Roman" w:hint="default"/>
      </w:rPr>
    </w:lvl>
    <w:lvl w:ilvl="2" w:tplc="04A6D258" w:tentative="1">
      <w:start w:val="1"/>
      <w:numFmt w:val="bullet"/>
      <w:lvlText w:val="•"/>
      <w:lvlJc w:val="left"/>
      <w:pPr>
        <w:tabs>
          <w:tab w:val="num" w:pos="2160"/>
        </w:tabs>
        <w:ind w:left="2160" w:hanging="360"/>
      </w:pPr>
      <w:rPr>
        <w:rFonts w:ascii="Times New Roman" w:hAnsi="Times New Roman" w:hint="default"/>
      </w:rPr>
    </w:lvl>
    <w:lvl w:ilvl="3" w:tplc="F4A2A5B6" w:tentative="1">
      <w:start w:val="1"/>
      <w:numFmt w:val="bullet"/>
      <w:lvlText w:val="•"/>
      <w:lvlJc w:val="left"/>
      <w:pPr>
        <w:tabs>
          <w:tab w:val="num" w:pos="2880"/>
        </w:tabs>
        <w:ind w:left="2880" w:hanging="360"/>
      </w:pPr>
      <w:rPr>
        <w:rFonts w:ascii="Times New Roman" w:hAnsi="Times New Roman" w:hint="default"/>
      </w:rPr>
    </w:lvl>
    <w:lvl w:ilvl="4" w:tplc="C402F5E8" w:tentative="1">
      <w:start w:val="1"/>
      <w:numFmt w:val="bullet"/>
      <w:lvlText w:val="•"/>
      <w:lvlJc w:val="left"/>
      <w:pPr>
        <w:tabs>
          <w:tab w:val="num" w:pos="3600"/>
        </w:tabs>
        <w:ind w:left="3600" w:hanging="360"/>
      </w:pPr>
      <w:rPr>
        <w:rFonts w:ascii="Times New Roman" w:hAnsi="Times New Roman" w:hint="default"/>
      </w:rPr>
    </w:lvl>
    <w:lvl w:ilvl="5" w:tplc="77080572" w:tentative="1">
      <w:start w:val="1"/>
      <w:numFmt w:val="bullet"/>
      <w:lvlText w:val="•"/>
      <w:lvlJc w:val="left"/>
      <w:pPr>
        <w:tabs>
          <w:tab w:val="num" w:pos="4320"/>
        </w:tabs>
        <w:ind w:left="4320" w:hanging="360"/>
      </w:pPr>
      <w:rPr>
        <w:rFonts w:ascii="Times New Roman" w:hAnsi="Times New Roman" w:hint="default"/>
      </w:rPr>
    </w:lvl>
    <w:lvl w:ilvl="6" w:tplc="36DAD808" w:tentative="1">
      <w:start w:val="1"/>
      <w:numFmt w:val="bullet"/>
      <w:lvlText w:val="•"/>
      <w:lvlJc w:val="left"/>
      <w:pPr>
        <w:tabs>
          <w:tab w:val="num" w:pos="5040"/>
        </w:tabs>
        <w:ind w:left="5040" w:hanging="360"/>
      </w:pPr>
      <w:rPr>
        <w:rFonts w:ascii="Times New Roman" w:hAnsi="Times New Roman" w:hint="default"/>
      </w:rPr>
    </w:lvl>
    <w:lvl w:ilvl="7" w:tplc="60783690" w:tentative="1">
      <w:start w:val="1"/>
      <w:numFmt w:val="bullet"/>
      <w:lvlText w:val="•"/>
      <w:lvlJc w:val="left"/>
      <w:pPr>
        <w:tabs>
          <w:tab w:val="num" w:pos="5760"/>
        </w:tabs>
        <w:ind w:left="5760" w:hanging="360"/>
      </w:pPr>
      <w:rPr>
        <w:rFonts w:ascii="Times New Roman" w:hAnsi="Times New Roman" w:hint="default"/>
      </w:rPr>
    </w:lvl>
    <w:lvl w:ilvl="8" w:tplc="AF002D1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9D14F6"/>
    <w:multiLevelType w:val="hybridMultilevel"/>
    <w:tmpl w:val="98B83060"/>
    <w:lvl w:ilvl="0" w:tplc="6A0CDF7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D163BE"/>
    <w:multiLevelType w:val="hybridMultilevel"/>
    <w:tmpl w:val="AF109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356EBA"/>
    <w:multiLevelType w:val="hybridMultilevel"/>
    <w:tmpl w:val="D9BED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5"/>
  </w:num>
  <w:num w:numId="5">
    <w:abstractNumId w:val="11"/>
  </w:num>
  <w:num w:numId="6">
    <w:abstractNumId w:val="1"/>
  </w:num>
  <w:num w:numId="7">
    <w:abstractNumId w:val="12"/>
  </w:num>
  <w:num w:numId="8">
    <w:abstractNumId w:val="9"/>
  </w:num>
  <w:num w:numId="9">
    <w:abstractNumId w:val="2"/>
  </w:num>
  <w:num w:numId="10">
    <w:abstractNumId w:val="15"/>
  </w:num>
  <w:num w:numId="11">
    <w:abstractNumId w:val="14"/>
  </w:num>
  <w:num w:numId="12">
    <w:abstractNumId w:val="4"/>
  </w:num>
  <w:num w:numId="13">
    <w:abstractNumId w:val="3"/>
  </w:num>
  <w:num w:numId="14">
    <w:abstractNumId w:val="6"/>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B7B41"/>
    <w:rsid w:val="000D7FAF"/>
    <w:rsid w:val="00134555"/>
    <w:rsid w:val="0014304E"/>
    <w:rsid w:val="001B7B41"/>
    <w:rsid w:val="001D3776"/>
    <w:rsid w:val="001E2A98"/>
    <w:rsid w:val="001E4866"/>
    <w:rsid w:val="00222494"/>
    <w:rsid w:val="00273F31"/>
    <w:rsid w:val="0027425B"/>
    <w:rsid w:val="002E597B"/>
    <w:rsid w:val="002F05A6"/>
    <w:rsid w:val="002F4DEB"/>
    <w:rsid w:val="003100AC"/>
    <w:rsid w:val="00361346"/>
    <w:rsid w:val="003B134F"/>
    <w:rsid w:val="003E1D3C"/>
    <w:rsid w:val="00416687"/>
    <w:rsid w:val="004C6C6D"/>
    <w:rsid w:val="004E4FDB"/>
    <w:rsid w:val="006407B5"/>
    <w:rsid w:val="00660829"/>
    <w:rsid w:val="0066721B"/>
    <w:rsid w:val="006C532E"/>
    <w:rsid w:val="006F1B64"/>
    <w:rsid w:val="007816D9"/>
    <w:rsid w:val="00792809"/>
    <w:rsid w:val="00795A86"/>
    <w:rsid w:val="0096332D"/>
    <w:rsid w:val="00964323"/>
    <w:rsid w:val="00985330"/>
    <w:rsid w:val="00AD0BAC"/>
    <w:rsid w:val="00BE3FF5"/>
    <w:rsid w:val="00C73523"/>
    <w:rsid w:val="00C8382B"/>
    <w:rsid w:val="00CB1A76"/>
    <w:rsid w:val="00CE0970"/>
    <w:rsid w:val="00D046AB"/>
    <w:rsid w:val="00D47B16"/>
    <w:rsid w:val="00DE2C43"/>
    <w:rsid w:val="00E5663A"/>
    <w:rsid w:val="00F625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B41"/>
    <w:pPr>
      <w:ind w:left="720"/>
      <w:contextualSpacing/>
    </w:pPr>
  </w:style>
  <w:style w:type="table" w:styleId="Grilledutableau">
    <w:name w:val="Table Grid"/>
    <w:basedOn w:val="TableauNormal"/>
    <w:uiPriority w:val="39"/>
    <w:rsid w:val="00660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
    <w:name w:val="Grid Table 1 Light Accent 5"/>
    <w:basedOn w:val="TableauNormal"/>
    <w:uiPriority w:val="46"/>
    <w:rsid w:val="00792809"/>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4304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dTable2Accent1">
    <w:name w:val="Grid Table 2 Accent 1"/>
    <w:basedOn w:val="TableauNormal"/>
    <w:uiPriority w:val="47"/>
    <w:rsid w:val="004E4FDB"/>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Titredulivre">
    <w:name w:val="Book Title"/>
    <w:basedOn w:val="Policepardfaut"/>
    <w:uiPriority w:val="33"/>
    <w:qFormat/>
    <w:rsid w:val="004E4FDB"/>
    <w:rPr>
      <w:b/>
      <w:bCs/>
      <w:i/>
      <w:iCs/>
      <w:spacing w:val="5"/>
    </w:rPr>
  </w:style>
  <w:style w:type="paragraph" w:styleId="Textedebulles">
    <w:name w:val="Balloon Text"/>
    <w:basedOn w:val="Normal"/>
    <w:link w:val="TextedebullesCar"/>
    <w:uiPriority w:val="99"/>
    <w:semiHidden/>
    <w:unhideWhenUsed/>
    <w:rsid w:val="006C53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532E"/>
    <w:rPr>
      <w:rFonts w:ascii="Segoe UI" w:hAnsi="Segoe UI" w:cs="Segoe UI"/>
      <w:sz w:val="18"/>
      <w:szCs w:val="18"/>
    </w:rPr>
  </w:style>
  <w:style w:type="paragraph" w:styleId="En-tte">
    <w:name w:val="header"/>
    <w:basedOn w:val="Normal"/>
    <w:link w:val="En-tteCar"/>
    <w:uiPriority w:val="99"/>
    <w:unhideWhenUsed/>
    <w:rsid w:val="003100AC"/>
    <w:pPr>
      <w:tabs>
        <w:tab w:val="center" w:pos="4536"/>
        <w:tab w:val="right" w:pos="9072"/>
      </w:tabs>
      <w:spacing w:after="0" w:line="240" w:lineRule="auto"/>
    </w:pPr>
  </w:style>
  <w:style w:type="character" w:customStyle="1" w:styleId="En-tteCar">
    <w:name w:val="En-tête Car"/>
    <w:basedOn w:val="Policepardfaut"/>
    <w:link w:val="En-tte"/>
    <w:uiPriority w:val="99"/>
    <w:rsid w:val="003100AC"/>
  </w:style>
  <w:style w:type="paragraph" w:styleId="Pieddepage">
    <w:name w:val="footer"/>
    <w:basedOn w:val="Normal"/>
    <w:link w:val="PieddepageCar"/>
    <w:uiPriority w:val="99"/>
    <w:semiHidden/>
    <w:unhideWhenUsed/>
    <w:rsid w:val="003100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100AC"/>
  </w:style>
  <w:style w:type="paragraph" w:styleId="Sansinterligne">
    <w:name w:val="No Spacing"/>
    <w:link w:val="SansinterligneCar"/>
    <w:uiPriority w:val="1"/>
    <w:qFormat/>
    <w:rsid w:val="003100A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100AC"/>
    <w:rPr>
      <w:rFonts w:eastAsiaTheme="minorEastAsia"/>
    </w:rPr>
  </w:style>
</w:styles>
</file>

<file path=word/webSettings.xml><?xml version="1.0" encoding="utf-8"?>
<w:webSettings xmlns:r="http://schemas.openxmlformats.org/officeDocument/2006/relationships" xmlns:w="http://schemas.openxmlformats.org/wordprocessingml/2006/main">
  <w:divs>
    <w:div w:id="258099666">
      <w:bodyDiv w:val="1"/>
      <w:marLeft w:val="0"/>
      <w:marRight w:val="0"/>
      <w:marTop w:val="0"/>
      <w:marBottom w:val="0"/>
      <w:divBdr>
        <w:top w:val="none" w:sz="0" w:space="0" w:color="auto"/>
        <w:left w:val="none" w:sz="0" w:space="0" w:color="auto"/>
        <w:bottom w:val="none" w:sz="0" w:space="0" w:color="auto"/>
        <w:right w:val="none" w:sz="0" w:space="0" w:color="auto"/>
      </w:divBdr>
      <w:divsChild>
        <w:div w:id="2053653315">
          <w:marLeft w:val="547"/>
          <w:marRight w:val="0"/>
          <w:marTop w:val="0"/>
          <w:marBottom w:val="0"/>
          <w:divBdr>
            <w:top w:val="none" w:sz="0" w:space="0" w:color="auto"/>
            <w:left w:val="none" w:sz="0" w:space="0" w:color="auto"/>
            <w:bottom w:val="none" w:sz="0" w:space="0" w:color="auto"/>
            <w:right w:val="none" w:sz="0" w:space="0" w:color="auto"/>
          </w:divBdr>
        </w:div>
      </w:divsChild>
    </w:div>
    <w:div w:id="320697688">
      <w:bodyDiv w:val="1"/>
      <w:marLeft w:val="0"/>
      <w:marRight w:val="0"/>
      <w:marTop w:val="0"/>
      <w:marBottom w:val="0"/>
      <w:divBdr>
        <w:top w:val="none" w:sz="0" w:space="0" w:color="auto"/>
        <w:left w:val="none" w:sz="0" w:space="0" w:color="auto"/>
        <w:bottom w:val="none" w:sz="0" w:space="0" w:color="auto"/>
        <w:right w:val="none" w:sz="0" w:space="0" w:color="auto"/>
      </w:divBdr>
      <w:divsChild>
        <w:div w:id="1785270377">
          <w:marLeft w:val="547"/>
          <w:marRight w:val="0"/>
          <w:marTop w:val="0"/>
          <w:marBottom w:val="0"/>
          <w:divBdr>
            <w:top w:val="none" w:sz="0" w:space="0" w:color="auto"/>
            <w:left w:val="none" w:sz="0" w:space="0" w:color="auto"/>
            <w:bottom w:val="none" w:sz="0" w:space="0" w:color="auto"/>
            <w:right w:val="none" w:sz="0" w:space="0" w:color="auto"/>
          </w:divBdr>
        </w:div>
      </w:divsChild>
    </w:div>
    <w:div w:id="366952851">
      <w:bodyDiv w:val="1"/>
      <w:marLeft w:val="0"/>
      <w:marRight w:val="0"/>
      <w:marTop w:val="0"/>
      <w:marBottom w:val="0"/>
      <w:divBdr>
        <w:top w:val="none" w:sz="0" w:space="0" w:color="auto"/>
        <w:left w:val="none" w:sz="0" w:space="0" w:color="auto"/>
        <w:bottom w:val="none" w:sz="0" w:space="0" w:color="auto"/>
        <w:right w:val="none" w:sz="0" w:space="0" w:color="auto"/>
      </w:divBdr>
      <w:divsChild>
        <w:div w:id="1729180035">
          <w:marLeft w:val="547"/>
          <w:marRight w:val="0"/>
          <w:marTop w:val="0"/>
          <w:marBottom w:val="0"/>
          <w:divBdr>
            <w:top w:val="none" w:sz="0" w:space="0" w:color="auto"/>
            <w:left w:val="none" w:sz="0" w:space="0" w:color="auto"/>
            <w:bottom w:val="none" w:sz="0" w:space="0" w:color="auto"/>
            <w:right w:val="none" w:sz="0" w:space="0" w:color="auto"/>
          </w:divBdr>
        </w:div>
      </w:divsChild>
    </w:div>
    <w:div w:id="737944537">
      <w:bodyDiv w:val="1"/>
      <w:marLeft w:val="0"/>
      <w:marRight w:val="0"/>
      <w:marTop w:val="0"/>
      <w:marBottom w:val="0"/>
      <w:divBdr>
        <w:top w:val="none" w:sz="0" w:space="0" w:color="auto"/>
        <w:left w:val="none" w:sz="0" w:space="0" w:color="auto"/>
        <w:bottom w:val="none" w:sz="0" w:space="0" w:color="auto"/>
        <w:right w:val="none" w:sz="0" w:space="0" w:color="auto"/>
      </w:divBdr>
      <w:divsChild>
        <w:div w:id="192423846">
          <w:marLeft w:val="547"/>
          <w:marRight w:val="0"/>
          <w:marTop w:val="0"/>
          <w:marBottom w:val="0"/>
          <w:divBdr>
            <w:top w:val="none" w:sz="0" w:space="0" w:color="auto"/>
            <w:left w:val="none" w:sz="0" w:space="0" w:color="auto"/>
            <w:bottom w:val="none" w:sz="0" w:space="0" w:color="auto"/>
            <w:right w:val="none" w:sz="0" w:space="0" w:color="auto"/>
          </w:divBdr>
        </w:div>
      </w:divsChild>
    </w:div>
    <w:div w:id="757168848">
      <w:bodyDiv w:val="1"/>
      <w:marLeft w:val="0"/>
      <w:marRight w:val="0"/>
      <w:marTop w:val="0"/>
      <w:marBottom w:val="0"/>
      <w:divBdr>
        <w:top w:val="none" w:sz="0" w:space="0" w:color="auto"/>
        <w:left w:val="none" w:sz="0" w:space="0" w:color="auto"/>
        <w:bottom w:val="none" w:sz="0" w:space="0" w:color="auto"/>
        <w:right w:val="none" w:sz="0" w:space="0" w:color="auto"/>
      </w:divBdr>
      <w:divsChild>
        <w:div w:id="570963689">
          <w:marLeft w:val="547"/>
          <w:marRight w:val="0"/>
          <w:marTop w:val="0"/>
          <w:marBottom w:val="0"/>
          <w:divBdr>
            <w:top w:val="none" w:sz="0" w:space="0" w:color="auto"/>
            <w:left w:val="none" w:sz="0" w:space="0" w:color="auto"/>
            <w:bottom w:val="none" w:sz="0" w:space="0" w:color="auto"/>
            <w:right w:val="none" w:sz="0" w:space="0" w:color="auto"/>
          </w:divBdr>
        </w:div>
        <w:div w:id="395395211">
          <w:marLeft w:val="547"/>
          <w:marRight w:val="0"/>
          <w:marTop w:val="0"/>
          <w:marBottom w:val="0"/>
          <w:divBdr>
            <w:top w:val="none" w:sz="0" w:space="0" w:color="auto"/>
            <w:left w:val="none" w:sz="0" w:space="0" w:color="auto"/>
            <w:bottom w:val="none" w:sz="0" w:space="0" w:color="auto"/>
            <w:right w:val="none" w:sz="0" w:space="0" w:color="auto"/>
          </w:divBdr>
        </w:div>
      </w:divsChild>
    </w:div>
    <w:div w:id="1016271862">
      <w:bodyDiv w:val="1"/>
      <w:marLeft w:val="0"/>
      <w:marRight w:val="0"/>
      <w:marTop w:val="0"/>
      <w:marBottom w:val="0"/>
      <w:divBdr>
        <w:top w:val="none" w:sz="0" w:space="0" w:color="auto"/>
        <w:left w:val="none" w:sz="0" w:space="0" w:color="auto"/>
        <w:bottom w:val="none" w:sz="0" w:space="0" w:color="auto"/>
        <w:right w:val="none" w:sz="0" w:space="0" w:color="auto"/>
      </w:divBdr>
      <w:divsChild>
        <w:div w:id="498929997">
          <w:marLeft w:val="547"/>
          <w:marRight w:val="0"/>
          <w:marTop w:val="0"/>
          <w:marBottom w:val="0"/>
          <w:divBdr>
            <w:top w:val="none" w:sz="0" w:space="0" w:color="auto"/>
            <w:left w:val="none" w:sz="0" w:space="0" w:color="auto"/>
            <w:bottom w:val="none" w:sz="0" w:space="0" w:color="auto"/>
            <w:right w:val="none" w:sz="0" w:space="0" w:color="auto"/>
          </w:divBdr>
        </w:div>
      </w:divsChild>
    </w:div>
    <w:div w:id="1429345260">
      <w:bodyDiv w:val="1"/>
      <w:marLeft w:val="0"/>
      <w:marRight w:val="0"/>
      <w:marTop w:val="0"/>
      <w:marBottom w:val="0"/>
      <w:divBdr>
        <w:top w:val="none" w:sz="0" w:space="0" w:color="auto"/>
        <w:left w:val="none" w:sz="0" w:space="0" w:color="auto"/>
        <w:bottom w:val="none" w:sz="0" w:space="0" w:color="auto"/>
        <w:right w:val="none" w:sz="0" w:space="0" w:color="auto"/>
      </w:divBdr>
      <w:divsChild>
        <w:div w:id="508374885">
          <w:marLeft w:val="547"/>
          <w:marRight w:val="0"/>
          <w:marTop w:val="0"/>
          <w:marBottom w:val="0"/>
          <w:divBdr>
            <w:top w:val="none" w:sz="0" w:space="0" w:color="auto"/>
            <w:left w:val="none" w:sz="0" w:space="0" w:color="auto"/>
            <w:bottom w:val="none" w:sz="0" w:space="0" w:color="auto"/>
            <w:right w:val="none" w:sz="0" w:space="0" w:color="auto"/>
          </w:divBdr>
        </w:div>
      </w:divsChild>
    </w:div>
    <w:div w:id="1452019666">
      <w:bodyDiv w:val="1"/>
      <w:marLeft w:val="0"/>
      <w:marRight w:val="0"/>
      <w:marTop w:val="0"/>
      <w:marBottom w:val="0"/>
      <w:divBdr>
        <w:top w:val="none" w:sz="0" w:space="0" w:color="auto"/>
        <w:left w:val="none" w:sz="0" w:space="0" w:color="auto"/>
        <w:bottom w:val="none" w:sz="0" w:space="0" w:color="auto"/>
        <w:right w:val="none" w:sz="0" w:space="0" w:color="auto"/>
      </w:divBdr>
      <w:divsChild>
        <w:div w:id="13062742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6F084F-12F0-4EBE-989A-E77688AADF52}" type="doc">
      <dgm:prSet loTypeId="urn:microsoft.com/office/officeart/2005/8/layout/radial6" loCatId="cycle" qsTypeId="urn:microsoft.com/office/officeart/2005/8/quickstyle/simple5" qsCatId="simple" csTypeId="urn:microsoft.com/office/officeart/2005/8/colors/accent1_2" csCatId="accent1" phldr="1"/>
      <dgm:spPr/>
      <dgm:t>
        <a:bodyPr/>
        <a:lstStyle/>
        <a:p>
          <a:endParaRPr lang="fr-FR"/>
        </a:p>
      </dgm:t>
    </dgm:pt>
    <dgm:pt modelId="{1117C7DE-894C-4F58-8CEC-57A8BE4D5DA4}">
      <dgm:prSet phldrT="[Texte]" custT="1"/>
      <dgm:spPr/>
      <dgm:t>
        <a:bodyPr/>
        <a:lstStyle/>
        <a:p>
          <a:pPr algn="ctr"/>
          <a:r>
            <a:rPr lang="fr-FR" sz="1050" b="1" u="sng">
              <a:solidFill>
                <a:schemeClr val="accent4">
                  <a:lumMod val="60000"/>
                  <a:lumOff val="40000"/>
                </a:schemeClr>
              </a:solidFill>
              <a:latin typeface="+mn-lt"/>
            </a:rPr>
            <a:t>ACTIVITÉS RÉGULIÈRES</a:t>
          </a:r>
        </a:p>
        <a:p>
          <a:pPr algn="ctr"/>
          <a:r>
            <a:rPr lang="fr-FR" sz="1050">
              <a:latin typeface="+mn-lt"/>
              <a:sym typeface="Symbol" panose="05050102010706020507" pitchFamily="18" charset="2"/>
            </a:rPr>
            <a:t>7. </a:t>
          </a:r>
          <a:r>
            <a:rPr lang="fr-FR" sz="1000">
              <a:latin typeface="+mn-lt"/>
            </a:rPr>
            <a:t>Paiement des impôts</a:t>
          </a:r>
        </a:p>
        <a:p>
          <a:pPr algn="ctr"/>
          <a:r>
            <a:rPr lang="fr-FR" sz="1000">
              <a:latin typeface="+mn-lt"/>
              <a:sym typeface="Symbol" panose="05050102010706020507" pitchFamily="18" charset="2"/>
            </a:rPr>
            <a:t>8. </a:t>
          </a:r>
          <a:r>
            <a:rPr lang="fr-FR" sz="1000">
              <a:latin typeface="+mn-lt"/>
            </a:rPr>
            <a:t>Commerce transfrontalier</a:t>
          </a:r>
        </a:p>
      </dgm:t>
    </dgm:pt>
    <dgm:pt modelId="{1132616A-1260-467F-9A09-40E4930FAF1A}" type="parTrans" cxnId="{7B35E6BA-2460-4DE7-94F7-D9664C7A28C8}">
      <dgm:prSet/>
      <dgm:spPr/>
      <dgm:t>
        <a:bodyPr/>
        <a:lstStyle/>
        <a:p>
          <a:pPr algn="ctr"/>
          <a:endParaRPr lang="fr-FR" sz="2000">
            <a:latin typeface="+mn-lt"/>
          </a:endParaRPr>
        </a:p>
      </dgm:t>
    </dgm:pt>
    <dgm:pt modelId="{DDB58E41-9BB2-4204-A53F-D44FEFCF7E3A}" type="sibTrans" cxnId="{7B35E6BA-2460-4DE7-94F7-D9664C7A28C8}">
      <dgm:prSet/>
      <dgm:spPr/>
      <dgm:t>
        <a:bodyPr/>
        <a:lstStyle/>
        <a:p>
          <a:pPr algn="ctr"/>
          <a:endParaRPr lang="fr-FR" sz="2000">
            <a:latin typeface="+mn-lt"/>
          </a:endParaRPr>
        </a:p>
      </dgm:t>
    </dgm:pt>
    <dgm:pt modelId="{C0A4A02D-AA04-42D0-BD22-5659B1B7A71F}">
      <dgm:prSet phldrT="[Texte]" custT="1"/>
      <dgm:spPr/>
      <dgm:t>
        <a:bodyPr/>
        <a:lstStyle/>
        <a:p>
          <a:pPr algn="ctr"/>
          <a:r>
            <a:rPr lang="fr-FR" sz="1050" b="1" u="sng">
              <a:solidFill>
                <a:schemeClr val="accent4">
                  <a:lumMod val="60000"/>
                  <a:lumOff val="40000"/>
                </a:schemeClr>
              </a:solidFill>
              <a:latin typeface="+mn-lt"/>
            </a:rPr>
            <a:t>ACCÈS</a:t>
          </a:r>
        </a:p>
        <a:p>
          <a:pPr algn="ctr"/>
          <a:r>
            <a:rPr lang="fr-FR" sz="1000">
              <a:latin typeface="+mn-lt"/>
              <a:sym typeface="Symbol" panose="05050102010706020507" pitchFamily="18" charset="2"/>
            </a:rPr>
            <a:t>1. </a:t>
          </a:r>
          <a:r>
            <a:rPr lang="fr-FR" sz="1000">
              <a:latin typeface="+mn-lt"/>
            </a:rPr>
            <a:t>Création d'entreprise</a:t>
          </a:r>
        </a:p>
      </dgm:t>
    </dgm:pt>
    <dgm:pt modelId="{AA466CD5-EED8-47A3-BA77-119D3D36C3DC}" type="parTrans" cxnId="{536F7CE4-4DCA-4FB4-983E-4670A121045B}">
      <dgm:prSet/>
      <dgm:spPr/>
      <dgm:t>
        <a:bodyPr/>
        <a:lstStyle/>
        <a:p>
          <a:pPr algn="ctr"/>
          <a:endParaRPr lang="fr-FR" sz="2000">
            <a:latin typeface="+mn-lt"/>
          </a:endParaRPr>
        </a:p>
      </dgm:t>
    </dgm:pt>
    <dgm:pt modelId="{1908CDC1-2798-419A-AFAB-8B54921E74E9}" type="sibTrans" cxnId="{536F7CE4-4DCA-4FB4-983E-4670A121045B}">
      <dgm:prSet/>
      <dgm:spPr/>
      <dgm:t>
        <a:bodyPr/>
        <a:lstStyle/>
        <a:p>
          <a:pPr algn="ctr"/>
          <a:endParaRPr lang="fr-FR" sz="2000">
            <a:latin typeface="+mn-lt"/>
          </a:endParaRPr>
        </a:p>
      </dgm:t>
    </dgm:pt>
    <dgm:pt modelId="{0BA41864-9A23-4ABB-89D5-FE468BBB7B5F}">
      <dgm:prSet phldrT="[Texte]" custT="1"/>
      <dgm:spPr/>
      <dgm:t>
        <a:bodyPr/>
        <a:lstStyle/>
        <a:p>
          <a:pPr algn="ctr"/>
          <a:r>
            <a:rPr lang="fr-FR" sz="1050" b="1" u="sng">
              <a:solidFill>
                <a:schemeClr val="accent4">
                  <a:lumMod val="60000"/>
                  <a:lumOff val="40000"/>
                </a:schemeClr>
              </a:solidFill>
              <a:latin typeface="+mn-lt"/>
            </a:rPr>
            <a:t>OBTENIR UN LOCAL</a:t>
          </a:r>
        </a:p>
        <a:p>
          <a:pPr algn="ctr"/>
          <a:r>
            <a:rPr lang="fr-FR" sz="1000">
              <a:latin typeface="+mn-lt"/>
            </a:rPr>
            <a:t>2. Obtention de permis de construire</a:t>
          </a:r>
        </a:p>
        <a:p>
          <a:pPr algn="ctr"/>
          <a:r>
            <a:rPr lang="fr-FR" sz="1000">
              <a:latin typeface="+mn-lt"/>
            </a:rPr>
            <a:t>3. Raccordement à l'électricité</a:t>
          </a:r>
        </a:p>
        <a:p>
          <a:pPr algn="ctr"/>
          <a:r>
            <a:rPr lang="fr-FR" sz="1000">
              <a:latin typeface="+mn-lt"/>
            </a:rPr>
            <a:t>4. Transfert de propriété</a:t>
          </a:r>
        </a:p>
      </dgm:t>
    </dgm:pt>
    <dgm:pt modelId="{DD9E651F-5EF6-42BB-ACA6-3AC511BE34B1}" type="parTrans" cxnId="{83B8A084-FB92-4C58-9DEB-31F4E446385A}">
      <dgm:prSet/>
      <dgm:spPr/>
      <dgm:t>
        <a:bodyPr/>
        <a:lstStyle/>
        <a:p>
          <a:pPr algn="ctr"/>
          <a:endParaRPr lang="fr-FR" sz="2000">
            <a:latin typeface="+mn-lt"/>
          </a:endParaRPr>
        </a:p>
      </dgm:t>
    </dgm:pt>
    <dgm:pt modelId="{0A8FD98E-3986-4E41-8B40-5BBA24218EF7}" type="sibTrans" cxnId="{83B8A084-FB92-4C58-9DEB-31F4E446385A}">
      <dgm:prSet/>
      <dgm:spPr/>
      <dgm:t>
        <a:bodyPr/>
        <a:lstStyle/>
        <a:p>
          <a:pPr algn="ctr"/>
          <a:endParaRPr lang="fr-FR" sz="2000">
            <a:latin typeface="+mn-lt"/>
          </a:endParaRPr>
        </a:p>
      </dgm:t>
    </dgm:pt>
    <dgm:pt modelId="{AEB54FE1-66AB-462B-8742-9E4D50C92FC7}">
      <dgm:prSet phldrT="[Texte]" custT="1"/>
      <dgm:spPr/>
      <dgm:t>
        <a:bodyPr/>
        <a:lstStyle/>
        <a:p>
          <a:pPr algn="ctr"/>
          <a:r>
            <a:rPr lang="fr-FR" sz="1050" b="1" u="sng">
              <a:solidFill>
                <a:schemeClr val="accent4">
                  <a:lumMod val="60000"/>
                  <a:lumOff val="40000"/>
                </a:schemeClr>
              </a:solidFill>
              <a:latin typeface="+mn-lt"/>
            </a:rPr>
            <a:t>FINANCEMENT</a:t>
          </a:r>
        </a:p>
        <a:p>
          <a:pPr algn="ctr"/>
          <a:r>
            <a:rPr lang="fr-FR" sz="1050">
              <a:latin typeface="+mn-lt"/>
              <a:sym typeface="Symbol" panose="05050102010706020507" pitchFamily="18" charset="2"/>
            </a:rPr>
            <a:t>5. </a:t>
          </a:r>
          <a:r>
            <a:rPr lang="fr-FR" sz="1000">
              <a:latin typeface="+mn-lt"/>
            </a:rPr>
            <a:t>Obtention de prêts</a:t>
          </a:r>
        </a:p>
        <a:p>
          <a:pPr algn="ctr"/>
          <a:r>
            <a:rPr lang="fr-FR" sz="1000">
              <a:latin typeface="+mn-lt"/>
              <a:sym typeface="Symbol" panose="05050102010706020507" pitchFamily="18" charset="2"/>
            </a:rPr>
            <a:t>6. </a:t>
          </a:r>
          <a:r>
            <a:rPr lang="fr-FR" sz="1000">
              <a:latin typeface="+mn-lt"/>
            </a:rPr>
            <a:t>Protection des investisseurs minoritaires</a:t>
          </a:r>
        </a:p>
      </dgm:t>
    </dgm:pt>
    <dgm:pt modelId="{39A4EE63-0A1C-49B4-A05C-A6BC2FBBDF77}" type="parTrans" cxnId="{6208E9EA-09CE-4D00-B7B3-D6639913334B}">
      <dgm:prSet/>
      <dgm:spPr/>
      <dgm:t>
        <a:bodyPr/>
        <a:lstStyle/>
        <a:p>
          <a:pPr algn="ctr"/>
          <a:endParaRPr lang="fr-FR" sz="2000">
            <a:latin typeface="+mn-lt"/>
          </a:endParaRPr>
        </a:p>
      </dgm:t>
    </dgm:pt>
    <dgm:pt modelId="{F984BBC8-1813-426D-8A67-68450ABF0401}" type="sibTrans" cxnId="{6208E9EA-09CE-4D00-B7B3-D6639913334B}">
      <dgm:prSet/>
      <dgm:spPr/>
      <dgm:t>
        <a:bodyPr/>
        <a:lstStyle/>
        <a:p>
          <a:pPr algn="ctr"/>
          <a:endParaRPr lang="fr-FR" sz="2000">
            <a:latin typeface="+mn-lt"/>
          </a:endParaRPr>
        </a:p>
      </dgm:t>
    </dgm:pt>
    <dgm:pt modelId="{EA7AFCED-990F-4E57-A620-7B336A52605D}">
      <dgm:prSet phldrT="[Texte]" custT="1"/>
      <dgm:spPr/>
      <dgm:t>
        <a:bodyPr/>
        <a:lstStyle/>
        <a:p>
          <a:pPr algn="ctr"/>
          <a:r>
            <a:rPr lang="fr-FR" sz="1050" b="1" u="sng">
              <a:solidFill>
                <a:schemeClr val="accent4">
                  <a:lumMod val="60000"/>
                  <a:lumOff val="40000"/>
                </a:schemeClr>
              </a:solidFill>
              <a:latin typeface="+mn-lt"/>
            </a:rPr>
            <a:t>EN CAS DE DIFFICULTÉS</a:t>
          </a:r>
        </a:p>
        <a:p>
          <a:pPr algn="ctr"/>
          <a:r>
            <a:rPr lang="fr-FR" sz="1050">
              <a:latin typeface="+mn-lt"/>
              <a:sym typeface="Symbol" panose="05050102010706020507" pitchFamily="18" charset="2"/>
            </a:rPr>
            <a:t>9. </a:t>
          </a:r>
          <a:r>
            <a:rPr lang="fr-FR" sz="1000">
              <a:solidFill>
                <a:schemeClr val="bg1"/>
              </a:solidFill>
              <a:latin typeface="+mn-lt"/>
            </a:rPr>
            <a:t>Excution des contrats</a:t>
          </a:r>
        </a:p>
        <a:p>
          <a:pPr algn="ctr"/>
          <a:r>
            <a:rPr lang="fr-FR" sz="1000">
              <a:latin typeface="+mn-lt"/>
              <a:sym typeface="Symbol" panose="05050102010706020507" pitchFamily="18" charset="2"/>
            </a:rPr>
            <a:t>10. </a:t>
          </a:r>
          <a:r>
            <a:rPr lang="fr-FR" sz="1000">
              <a:solidFill>
                <a:schemeClr val="bg1"/>
              </a:solidFill>
              <a:latin typeface="+mn-lt"/>
            </a:rPr>
            <a:t>Règlement de l'insolvabilité</a:t>
          </a:r>
        </a:p>
      </dgm:t>
    </dgm:pt>
    <dgm:pt modelId="{9493C1BD-2364-4A24-95E6-16DAA8DDB714}" type="parTrans" cxnId="{E1F5ED6C-DDD8-4319-9E42-F8BB277AB20E}">
      <dgm:prSet/>
      <dgm:spPr/>
      <dgm:t>
        <a:bodyPr/>
        <a:lstStyle/>
        <a:p>
          <a:pPr algn="ctr"/>
          <a:endParaRPr lang="fr-FR" sz="2000">
            <a:latin typeface="+mn-lt"/>
          </a:endParaRPr>
        </a:p>
      </dgm:t>
    </dgm:pt>
    <dgm:pt modelId="{1A992E59-2ED4-4C10-9AC9-362B1D5F0725}" type="sibTrans" cxnId="{E1F5ED6C-DDD8-4319-9E42-F8BB277AB20E}">
      <dgm:prSet/>
      <dgm:spPr/>
      <dgm:t>
        <a:bodyPr/>
        <a:lstStyle/>
        <a:p>
          <a:pPr algn="ctr"/>
          <a:endParaRPr lang="fr-FR" sz="2000">
            <a:latin typeface="+mn-lt"/>
          </a:endParaRPr>
        </a:p>
      </dgm:t>
    </dgm:pt>
    <dgm:pt modelId="{CA019558-F69A-47C9-A27F-590B10CA551F}" type="pres">
      <dgm:prSet presAssocID="{256F084F-12F0-4EBE-989A-E77688AADF52}" presName="Name0" presStyleCnt="0">
        <dgm:presLayoutVars>
          <dgm:chMax val="1"/>
          <dgm:dir/>
          <dgm:animLvl val="ctr"/>
          <dgm:resizeHandles val="exact"/>
        </dgm:presLayoutVars>
      </dgm:prSet>
      <dgm:spPr/>
      <dgm:t>
        <a:bodyPr/>
        <a:lstStyle/>
        <a:p>
          <a:endParaRPr lang="fr-FR"/>
        </a:p>
      </dgm:t>
    </dgm:pt>
    <dgm:pt modelId="{4A8EBC1C-0959-402A-8DAE-33F52D0A16B6}" type="pres">
      <dgm:prSet presAssocID="{1117C7DE-894C-4F58-8CEC-57A8BE4D5DA4}" presName="centerShape" presStyleLbl="node0" presStyleIdx="0" presStyleCnt="1" custScaleX="110092" custLinFactNeighborX="1032" custLinFactNeighborY="344"/>
      <dgm:spPr>
        <a:prstGeom prst="roundRect">
          <a:avLst/>
        </a:prstGeom>
      </dgm:spPr>
      <dgm:t>
        <a:bodyPr/>
        <a:lstStyle/>
        <a:p>
          <a:endParaRPr lang="fr-FR"/>
        </a:p>
      </dgm:t>
    </dgm:pt>
    <dgm:pt modelId="{02EC77E1-6DC8-461F-B260-29D18879A41E}" type="pres">
      <dgm:prSet presAssocID="{C0A4A02D-AA04-42D0-BD22-5659B1B7A71F}" presName="node" presStyleLbl="node1" presStyleIdx="0" presStyleCnt="4" custScaleX="175316" custScaleY="111848">
        <dgm:presLayoutVars>
          <dgm:bulletEnabled val="1"/>
        </dgm:presLayoutVars>
      </dgm:prSet>
      <dgm:spPr>
        <a:prstGeom prst="roundRect">
          <a:avLst/>
        </a:prstGeom>
      </dgm:spPr>
      <dgm:t>
        <a:bodyPr/>
        <a:lstStyle/>
        <a:p>
          <a:endParaRPr lang="fr-FR"/>
        </a:p>
      </dgm:t>
    </dgm:pt>
    <dgm:pt modelId="{D891204E-22D0-4C9E-85D0-6E86A0767B3B}" type="pres">
      <dgm:prSet presAssocID="{C0A4A02D-AA04-42D0-BD22-5659B1B7A71F}" presName="dummy" presStyleCnt="0"/>
      <dgm:spPr/>
    </dgm:pt>
    <dgm:pt modelId="{3E19F89B-904C-4CC7-8C7A-DAAC840FAE5D}" type="pres">
      <dgm:prSet presAssocID="{1908CDC1-2798-419A-AFAB-8B54921E74E9}" presName="sibTrans" presStyleLbl="sibTrans2D1" presStyleIdx="0" presStyleCnt="4" custScaleX="109851" custScaleY="100568"/>
      <dgm:spPr/>
      <dgm:t>
        <a:bodyPr/>
        <a:lstStyle/>
        <a:p>
          <a:endParaRPr lang="fr-FR"/>
        </a:p>
      </dgm:t>
    </dgm:pt>
    <dgm:pt modelId="{E0E3230E-1F16-44B8-BF53-4E69A5EB918F}" type="pres">
      <dgm:prSet presAssocID="{0BA41864-9A23-4ABB-89D5-FE468BBB7B5F}" presName="node" presStyleLbl="node1" presStyleIdx="1" presStyleCnt="4" custScaleX="167468" custScaleY="120723" custRadScaleRad="113745" custRadScaleInc="2310">
        <dgm:presLayoutVars>
          <dgm:bulletEnabled val="1"/>
        </dgm:presLayoutVars>
      </dgm:prSet>
      <dgm:spPr>
        <a:prstGeom prst="roundRect">
          <a:avLst/>
        </a:prstGeom>
      </dgm:spPr>
      <dgm:t>
        <a:bodyPr/>
        <a:lstStyle/>
        <a:p>
          <a:endParaRPr lang="fr-FR"/>
        </a:p>
      </dgm:t>
    </dgm:pt>
    <dgm:pt modelId="{8D65FAFF-5E38-4CEC-A0C0-F14DFE7C4637}" type="pres">
      <dgm:prSet presAssocID="{0BA41864-9A23-4ABB-89D5-FE468BBB7B5F}" presName="dummy" presStyleCnt="0"/>
      <dgm:spPr/>
    </dgm:pt>
    <dgm:pt modelId="{04454915-A967-4F4C-947A-41F4E6FA9B23}" type="pres">
      <dgm:prSet presAssocID="{0A8FD98E-3986-4E41-8B40-5BBA24218EF7}" presName="sibTrans" presStyleLbl="sibTrans2D1" presStyleIdx="1" presStyleCnt="4" custScaleX="107528"/>
      <dgm:spPr/>
      <dgm:t>
        <a:bodyPr/>
        <a:lstStyle/>
        <a:p>
          <a:endParaRPr lang="fr-FR"/>
        </a:p>
      </dgm:t>
    </dgm:pt>
    <dgm:pt modelId="{3CFFD32A-B72C-44AE-BFD7-5E08B9BDE7E6}" type="pres">
      <dgm:prSet presAssocID="{AEB54FE1-66AB-462B-8742-9E4D50C92FC7}" presName="node" presStyleLbl="node1" presStyleIdx="2" presStyleCnt="4" custScaleX="175316" custScaleY="111848">
        <dgm:presLayoutVars>
          <dgm:bulletEnabled val="1"/>
        </dgm:presLayoutVars>
      </dgm:prSet>
      <dgm:spPr>
        <a:prstGeom prst="roundRect">
          <a:avLst/>
        </a:prstGeom>
      </dgm:spPr>
      <dgm:t>
        <a:bodyPr/>
        <a:lstStyle/>
        <a:p>
          <a:endParaRPr lang="fr-FR"/>
        </a:p>
      </dgm:t>
    </dgm:pt>
    <dgm:pt modelId="{5ECEF662-CD6C-4AFF-8360-18D6DEEF3CE2}" type="pres">
      <dgm:prSet presAssocID="{AEB54FE1-66AB-462B-8742-9E4D50C92FC7}" presName="dummy" presStyleCnt="0"/>
      <dgm:spPr/>
    </dgm:pt>
    <dgm:pt modelId="{19145F7A-B039-4E78-945F-7E975B1426A1}" type="pres">
      <dgm:prSet presAssocID="{F984BBC8-1813-426D-8A67-68450ABF0401}" presName="sibTrans" presStyleLbl="sibTrans2D1" presStyleIdx="2" presStyleCnt="4" custScaleX="106756"/>
      <dgm:spPr/>
      <dgm:t>
        <a:bodyPr/>
        <a:lstStyle/>
        <a:p>
          <a:endParaRPr lang="fr-FR"/>
        </a:p>
      </dgm:t>
    </dgm:pt>
    <dgm:pt modelId="{77DA6B7C-349C-44E1-9349-FA6F04DD38A2}" type="pres">
      <dgm:prSet presAssocID="{EA7AFCED-990F-4E57-A620-7B336A52605D}" presName="node" presStyleLbl="node1" presStyleIdx="3" presStyleCnt="4" custScaleX="172271" custScaleY="120723" custRadScaleRad="113850" custRadScaleInc="-2483">
        <dgm:presLayoutVars>
          <dgm:bulletEnabled val="1"/>
        </dgm:presLayoutVars>
      </dgm:prSet>
      <dgm:spPr>
        <a:prstGeom prst="roundRect">
          <a:avLst/>
        </a:prstGeom>
      </dgm:spPr>
      <dgm:t>
        <a:bodyPr/>
        <a:lstStyle/>
        <a:p>
          <a:endParaRPr lang="fr-FR"/>
        </a:p>
      </dgm:t>
    </dgm:pt>
    <dgm:pt modelId="{7883366E-EC92-4955-BE3E-1E09F51D582C}" type="pres">
      <dgm:prSet presAssocID="{EA7AFCED-990F-4E57-A620-7B336A52605D}" presName="dummy" presStyleCnt="0"/>
      <dgm:spPr/>
    </dgm:pt>
    <dgm:pt modelId="{D6949F82-C115-4D1E-8BB7-D9AF791EB3FA}" type="pres">
      <dgm:prSet presAssocID="{1A992E59-2ED4-4C10-9AC9-362B1D5F0725}" presName="sibTrans" presStyleLbl="sibTrans2D1" presStyleIdx="3" presStyleCnt="4" custScaleX="111398"/>
      <dgm:spPr/>
      <dgm:t>
        <a:bodyPr/>
        <a:lstStyle/>
        <a:p>
          <a:endParaRPr lang="fr-FR"/>
        </a:p>
      </dgm:t>
    </dgm:pt>
  </dgm:ptLst>
  <dgm:cxnLst>
    <dgm:cxn modelId="{3FFD0F49-EC15-4930-85C8-C0F3B73FD6A0}" type="presOf" srcId="{F984BBC8-1813-426D-8A67-68450ABF0401}" destId="{19145F7A-B039-4E78-945F-7E975B1426A1}" srcOrd="0" destOrd="0" presId="urn:microsoft.com/office/officeart/2005/8/layout/radial6"/>
    <dgm:cxn modelId="{51F2E3CA-A0D2-4CFF-BEC0-D8DBB4D03EB1}" type="presOf" srcId="{C0A4A02D-AA04-42D0-BD22-5659B1B7A71F}" destId="{02EC77E1-6DC8-461F-B260-29D18879A41E}" srcOrd="0" destOrd="0" presId="urn:microsoft.com/office/officeart/2005/8/layout/radial6"/>
    <dgm:cxn modelId="{83B8A084-FB92-4C58-9DEB-31F4E446385A}" srcId="{1117C7DE-894C-4F58-8CEC-57A8BE4D5DA4}" destId="{0BA41864-9A23-4ABB-89D5-FE468BBB7B5F}" srcOrd="1" destOrd="0" parTransId="{DD9E651F-5EF6-42BB-ACA6-3AC511BE34B1}" sibTransId="{0A8FD98E-3986-4E41-8B40-5BBA24218EF7}"/>
    <dgm:cxn modelId="{6208E9EA-09CE-4D00-B7B3-D6639913334B}" srcId="{1117C7DE-894C-4F58-8CEC-57A8BE4D5DA4}" destId="{AEB54FE1-66AB-462B-8742-9E4D50C92FC7}" srcOrd="2" destOrd="0" parTransId="{39A4EE63-0A1C-49B4-A05C-A6BC2FBBDF77}" sibTransId="{F984BBC8-1813-426D-8A67-68450ABF0401}"/>
    <dgm:cxn modelId="{358DCB0C-3FA7-4DEE-A2CA-0ED2BE3969FD}" type="presOf" srcId="{EA7AFCED-990F-4E57-A620-7B336A52605D}" destId="{77DA6B7C-349C-44E1-9349-FA6F04DD38A2}" srcOrd="0" destOrd="0" presId="urn:microsoft.com/office/officeart/2005/8/layout/radial6"/>
    <dgm:cxn modelId="{D4ED0845-5297-41AE-850A-E08D9D563678}" type="presOf" srcId="{1117C7DE-894C-4F58-8CEC-57A8BE4D5DA4}" destId="{4A8EBC1C-0959-402A-8DAE-33F52D0A16B6}" srcOrd="0" destOrd="0" presId="urn:microsoft.com/office/officeart/2005/8/layout/radial6"/>
    <dgm:cxn modelId="{A33FD5AC-866B-44F5-B73D-1B017B739DB6}" type="presOf" srcId="{256F084F-12F0-4EBE-989A-E77688AADF52}" destId="{CA019558-F69A-47C9-A27F-590B10CA551F}" srcOrd="0" destOrd="0" presId="urn:microsoft.com/office/officeart/2005/8/layout/radial6"/>
    <dgm:cxn modelId="{C140C97B-8CFF-483B-B61B-81B9069FBC14}" type="presOf" srcId="{1A992E59-2ED4-4C10-9AC9-362B1D5F0725}" destId="{D6949F82-C115-4D1E-8BB7-D9AF791EB3FA}" srcOrd="0" destOrd="0" presId="urn:microsoft.com/office/officeart/2005/8/layout/radial6"/>
    <dgm:cxn modelId="{B155F9DF-53CD-48F6-AA26-75BE08FCFD70}" type="presOf" srcId="{1908CDC1-2798-419A-AFAB-8B54921E74E9}" destId="{3E19F89B-904C-4CC7-8C7A-DAAC840FAE5D}" srcOrd="0" destOrd="0" presId="urn:microsoft.com/office/officeart/2005/8/layout/radial6"/>
    <dgm:cxn modelId="{2F4AA7CE-3257-4D58-AE9F-CA872CD9CF90}" type="presOf" srcId="{0A8FD98E-3986-4E41-8B40-5BBA24218EF7}" destId="{04454915-A967-4F4C-947A-41F4E6FA9B23}" srcOrd="0" destOrd="0" presId="urn:microsoft.com/office/officeart/2005/8/layout/radial6"/>
    <dgm:cxn modelId="{16796B79-72A4-48B9-B546-88AF4A09DB82}" type="presOf" srcId="{AEB54FE1-66AB-462B-8742-9E4D50C92FC7}" destId="{3CFFD32A-B72C-44AE-BFD7-5E08B9BDE7E6}" srcOrd="0" destOrd="0" presId="urn:microsoft.com/office/officeart/2005/8/layout/radial6"/>
    <dgm:cxn modelId="{11BE11E5-BBDB-4FF0-AA4C-917526DB5B0B}" type="presOf" srcId="{0BA41864-9A23-4ABB-89D5-FE468BBB7B5F}" destId="{E0E3230E-1F16-44B8-BF53-4E69A5EB918F}" srcOrd="0" destOrd="0" presId="urn:microsoft.com/office/officeart/2005/8/layout/radial6"/>
    <dgm:cxn modelId="{E1F5ED6C-DDD8-4319-9E42-F8BB277AB20E}" srcId="{1117C7DE-894C-4F58-8CEC-57A8BE4D5DA4}" destId="{EA7AFCED-990F-4E57-A620-7B336A52605D}" srcOrd="3" destOrd="0" parTransId="{9493C1BD-2364-4A24-95E6-16DAA8DDB714}" sibTransId="{1A992E59-2ED4-4C10-9AC9-362B1D5F0725}"/>
    <dgm:cxn modelId="{7B35E6BA-2460-4DE7-94F7-D9664C7A28C8}" srcId="{256F084F-12F0-4EBE-989A-E77688AADF52}" destId="{1117C7DE-894C-4F58-8CEC-57A8BE4D5DA4}" srcOrd="0" destOrd="0" parTransId="{1132616A-1260-467F-9A09-40E4930FAF1A}" sibTransId="{DDB58E41-9BB2-4204-A53F-D44FEFCF7E3A}"/>
    <dgm:cxn modelId="{536F7CE4-4DCA-4FB4-983E-4670A121045B}" srcId="{1117C7DE-894C-4F58-8CEC-57A8BE4D5DA4}" destId="{C0A4A02D-AA04-42D0-BD22-5659B1B7A71F}" srcOrd="0" destOrd="0" parTransId="{AA466CD5-EED8-47A3-BA77-119D3D36C3DC}" sibTransId="{1908CDC1-2798-419A-AFAB-8B54921E74E9}"/>
    <dgm:cxn modelId="{73104714-0BE5-4A84-B7D4-FDCF02FC082F}" type="presParOf" srcId="{CA019558-F69A-47C9-A27F-590B10CA551F}" destId="{4A8EBC1C-0959-402A-8DAE-33F52D0A16B6}" srcOrd="0" destOrd="0" presId="urn:microsoft.com/office/officeart/2005/8/layout/radial6"/>
    <dgm:cxn modelId="{62889B98-D9F1-49DD-B785-08AABA62F316}" type="presParOf" srcId="{CA019558-F69A-47C9-A27F-590B10CA551F}" destId="{02EC77E1-6DC8-461F-B260-29D18879A41E}" srcOrd="1" destOrd="0" presId="urn:microsoft.com/office/officeart/2005/8/layout/radial6"/>
    <dgm:cxn modelId="{57EAEC7F-3631-42CD-8CB7-B95A6CC74F0C}" type="presParOf" srcId="{CA019558-F69A-47C9-A27F-590B10CA551F}" destId="{D891204E-22D0-4C9E-85D0-6E86A0767B3B}" srcOrd="2" destOrd="0" presId="urn:microsoft.com/office/officeart/2005/8/layout/radial6"/>
    <dgm:cxn modelId="{7308CE5D-E395-47CB-AFC6-7D309B9C979C}" type="presParOf" srcId="{CA019558-F69A-47C9-A27F-590B10CA551F}" destId="{3E19F89B-904C-4CC7-8C7A-DAAC840FAE5D}" srcOrd="3" destOrd="0" presId="urn:microsoft.com/office/officeart/2005/8/layout/radial6"/>
    <dgm:cxn modelId="{B86E907B-3B90-47D9-B402-7FFFD49A5EFB}" type="presParOf" srcId="{CA019558-F69A-47C9-A27F-590B10CA551F}" destId="{E0E3230E-1F16-44B8-BF53-4E69A5EB918F}" srcOrd="4" destOrd="0" presId="urn:microsoft.com/office/officeart/2005/8/layout/radial6"/>
    <dgm:cxn modelId="{51C786A8-5DDB-4B57-BB64-D2FF3A88B2D0}" type="presParOf" srcId="{CA019558-F69A-47C9-A27F-590B10CA551F}" destId="{8D65FAFF-5E38-4CEC-A0C0-F14DFE7C4637}" srcOrd="5" destOrd="0" presId="urn:microsoft.com/office/officeart/2005/8/layout/radial6"/>
    <dgm:cxn modelId="{333F8B83-9D19-4D6C-AC66-7C3BCED5A374}" type="presParOf" srcId="{CA019558-F69A-47C9-A27F-590B10CA551F}" destId="{04454915-A967-4F4C-947A-41F4E6FA9B23}" srcOrd="6" destOrd="0" presId="urn:microsoft.com/office/officeart/2005/8/layout/radial6"/>
    <dgm:cxn modelId="{393EDC94-14A6-4313-801B-D823610F9C1E}" type="presParOf" srcId="{CA019558-F69A-47C9-A27F-590B10CA551F}" destId="{3CFFD32A-B72C-44AE-BFD7-5E08B9BDE7E6}" srcOrd="7" destOrd="0" presId="urn:microsoft.com/office/officeart/2005/8/layout/radial6"/>
    <dgm:cxn modelId="{C1CFF244-ED0E-4A24-B66E-0A4C2EE191DF}" type="presParOf" srcId="{CA019558-F69A-47C9-A27F-590B10CA551F}" destId="{5ECEF662-CD6C-4AFF-8360-18D6DEEF3CE2}" srcOrd="8" destOrd="0" presId="urn:microsoft.com/office/officeart/2005/8/layout/radial6"/>
    <dgm:cxn modelId="{8FD02347-DD34-492A-A069-7339CC1C1D04}" type="presParOf" srcId="{CA019558-F69A-47C9-A27F-590B10CA551F}" destId="{19145F7A-B039-4E78-945F-7E975B1426A1}" srcOrd="9" destOrd="0" presId="urn:microsoft.com/office/officeart/2005/8/layout/radial6"/>
    <dgm:cxn modelId="{931B2F7E-5C6F-44D4-9593-C394094ECC5B}" type="presParOf" srcId="{CA019558-F69A-47C9-A27F-590B10CA551F}" destId="{77DA6B7C-349C-44E1-9349-FA6F04DD38A2}" srcOrd="10" destOrd="0" presId="urn:microsoft.com/office/officeart/2005/8/layout/radial6"/>
    <dgm:cxn modelId="{577C77E0-7383-4128-9EA2-07F8E70BE53E}" type="presParOf" srcId="{CA019558-F69A-47C9-A27F-590B10CA551F}" destId="{7883366E-EC92-4955-BE3E-1E09F51D582C}" srcOrd="11" destOrd="0" presId="urn:microsoft.com/office/officeart/2005/8/layout/radial6"/>
    <dgm:cxn modelId="{9393CD69-1875-4FC4-B5CC-9B180B78F7F9}" type="presParOf" srcId="{CA019558-F69A-47C9-A27F-590B10CA551F}" destId="{D6949F82-C115-4D1E-8BB7-D9AF791EB3FA}" srcOrd="12" destOrd="0" presId="urn:microsoft.com/office/officeart/2005/8/layout/radial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949F82-C115-4D1E-8BB7-D9AF791EB3FA}">
      <dsp:nvSpPr>
        <dsp:cNvPr id="0" name=""/>
        <dsp:cNvSpPr/>
      </dsp:nvSpPr>
      <dsp:spPr>
        <a:xfrm>
          <a:off x="1406596" y="381627"/>
          <a:ext cx="2939037" cy="2638321"/>
        </a:xfrm>
        <a:prstGeom prst="blockArc">
          <a:avLst>
            <a:gd name="adj1" fmla="val 10715880"/>
            <a:gd name="adj2" fmla="val 16678369"/>
            <a:gd name="adj3" fmla="val 4635"/>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9145F7A-B039-4E78-945F-7E975B1426A1}">
      <dsp:nvSpPr>
        <dsp:cNvPr id="0" name=""/>
        <dsp:cNvSpPr/>
      </dsp:nvSpPr>
      <dsp:spPr>
        <a:xfrm>
          <a:off x="1468200" y="406486"/>
          <a:ext cx="2816566" cy="2638321"/>
        </a:xfrm>
        <a:prstGeom prst="blockArc">
          <a:avLst>
            <a:gd name="adj1" fmla="val 4922624"/>
            <a:gd name="adj2" fmla="val 10782209"/>
            <a:gd name="adj3" fmla="val 4635"/>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4454915-A967-4F4C-947A-41F4E6FA9B23}">
      <dsp:nvSpPr>
        <dsp:cNvPr id="0" name=""/>
        <dsp:cNvSpPr/>
      </dsp:nvSpPr>
      <dsp:spPr>
        <a:xfrm>
          <a:off x="1813400" y="406300"/>
          <a:ext cx="2836934" cy="2638321"/>
        </a:xfrm>
        <a:prstGeom prst="blockArc">
          <a:avLst>
            <a:gd name="adj1" fmla="val 14701"/>
            <a:gd name="adj2" fmla="val 5873762"/>
            <a:gd name="adj3" fmla="val 4635"/>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E19F89B-904C-4CC7-8C7A-DAAC840FAE5D}">
      <dsp:nvSpPr>
        <dsp:cNvPr id="0" name=""/>
        <dsp:cNvSpPr/>
      </dsp:nvSpPr>
      <dsp:spPr>
        <a:xfrm>
          <a:off x="1783094" y="374326"/>
          <a:ext cx="2898223" cy="2653307"/>
        </a:xfrm>
        <a:prstGeom prst="blockArc">
          <a:avLst>
            <a:gd name="adj1" fmla="val 15725330"/>
            <a:gd name="adj2" fmla="val 80020"/>
            <a:gd name="adj3" fmla="val 4635"/>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A8EBC1C-0959-402A-8DAE-33F52D0A16B6}">
      <dsp:nvSpPr>
        <dsp:cNvPr id="0" name=""/>
        <dsp:cNvSpPr/>
      </dsp:nvSpPr>
      <dsp:spPr>
        <a:xfrm>
          <a:off x="2413678" y="1115558"/>
          <a:ext cx="1335529" cy="121310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1" u="sng" kern="1200">
              <a:solidFill>
                <a:schemeClr val="accent4">
                  <a:lumMod val="60000"/>
                  <a:lumOff val="40000"/>
                </a:schemeClr>
              </a:solidFill>
              <a:latin typeface="+mn-lt"/>
            </a:rPr>
            <a:t>ACTIVITÉS RÉGULIÈRES</a:t>
          </a:r>
        </a:p>
        <a:p>
          <a:pPr lvl="0" algn="ctr" defTabSz="466725">
            <a:lnSpc>
              <a:spcPct val="90000"/>
            </a:lnSpc>
            <a:spcBef>
              <a:spcPct val="0"/>
            </a:spcBef>
            <a:spcAft>
              <a:spcPct val="35000"/>
            </a:spcAft>
          </a:pPr>
          <a:r>
            <a:rPr lang="fr-FR" sz="1050" kern="1200">
              <a:latin typeface="+mn-lt"/>
              <a:sym typeface="Symbol" panose="05050102010706020507" pitchFamily="18" charset="2"/>
            </a:rPr>
            <a:t>7. </a:t>
          </a:r>
          <a:r>
            <a:rPr lang="fr-FR" sz="1000" kern="1200">
              <a:latin typeface="+mn-lt"/>
            </a:rPr>
            <a:t>Paiement des impôts</a:t>
          </a:r>
        </a:p>
        <a:p>
          <a:pPr lvl="0" algn="ctr" defTabSz="466725">
            <a:lnSpc>
              <a:spcPct val="90000"/>
            </a:lnSpc>
            <a:spcBef>
              <a:spcPct val="0"/>
            </a:spcBef>
            <a:spcAft>
              <a:spcPct val="35000"/>
            </a:spcAft>
          </a:pPr>
          <a:r>
            <a:rPr lang="fr-FR" sz="1000" kern="1200">
              <a:latin typeface="+mn-lt"/>
              <a:sym typeface="Symbol" panose="05050102010706020507" pitchFamily="18" charset="2"/>
            </a:rPr>
            <a:t>8. </a:t>
          </a:r>
          <a:r>
            <a:rPr lang="fr-FR" sz="1000" kern="1200">
              <a:latin typeface="+mn-lt"/>
            </a:rPr>
            <a:t>Commerce transfrontalier</a:t>
          </a:r>
        </a:p>
      </dsp:txBody>
      <dsp:txXfrm>
        <a:off x="2413678" y="1115558"/>
        <a:ext cx="1335529" cy="1213102"/>
      </dsp:txXfrm>
    </dsp:sp>
    <dsp:sp modelId="{02EC77E1-6DC8-461F-B260-29D18879A41E}">
      <dsp:nvSpPr>
        <dsp:cNvPr id="0" name=""/>
        <dsp:cNvSpPr/>
      </dsp:nvSpPr>
      <dsp:spPr>
        <a:xfrm>
          <a:off x="2310479" y="-50237"/>
          <a:ext cx="1488734" cy="94978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1" u="sng" kern="1200">
              <a:solidFill>
                <a:schemeClr val="accent4">
                  <a:lumMod val="60000"/>
                  <a:lumOff val="40000"/>
                </a:schemeClr>
              </a:solidFill>
              <a:latin typeface="+mn-lt"/>
            </a:rPr>
            <a:t>ACCÈS</a:t>
          </a:r>
        </a:p>
        <a:p>
          <a:pPr lvl="0" algn="ctr" defTabSz="466725">
            <a:lnSpc>
              <a:spcPct val="90000"/>
            </a:lnSpc>
            <a:spcBef>
              <a:spcPct val="0"/>
            </a:spcBef>
            <a:spcAft>
              <a:spcPct val="35000"/>
            </a:spcAft>
          </a:pPr>
          <a:r>
            <a:rPr lang="fr-FR" sz="1000" kern="1200">
              <a:latin typeface="+mn-lt"/>
              <a:sym typeface="Symbol" panose="05050102010706020507" pitchFamily="18" charset="2"/>
            </a:rPr>
            <a:t>1. </a:t>
          </a:r>
          <a:r>
            <a:rPr lang="fr-FR" sz="1000" kern="1200">
              <a:latin typeface="+mn-lt"/>
            </a:rPr>
            <a:t>Création d'entreprise</a:t>
          </a:r>
        </a:p>
      </dsp:txBody>
      <dsp:txXfrm>
        <a:off x="2310479" y="-50237"/>
        <a:ext cx="1488734" cy="949781"/>
      </dsp:txXfrm>
    </dsp:sp>
    <dsp:sp modelId="{E0E3230E-1F16-44B8-BF53-4E69A5EB918F}">
      <dsp:nvSpPr>
        <dsp:cNvPr id="0" name=""/>
        <dsp:cNvSpPr/>
      </dsp:nvSpPr>
      <dsp:spPr>
        <a:xfrm>
          <a:off x="3809401" y="1218398"/>
          <a:ext cx="1422091" cy="102514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1" u="sng" kern="1200">
              <a:solidFill>
                <a:schemeClr val="accent4">
                  <a:lumMod val="60000"/>
                  <a:lumOff val="40000"/>
                </a:schemeClr>
              </a:solidFill>
              <a:latin typeface="+mn-lt"/>
            </a:rPr>
            <a:t>OBTENIR UN LOCAL</a:t>
          </a:r>
        </a:p>
        <a:p>
          <a:pPr lvl="0" algn="ctr" defTabSz="466725">
            <a:lnSpc>
              <a:spcPct val="90000"/>
            </a:lnSpc>
            <a:spcBef>
              <a:spcPct val="0"/>
            </a:spcBef>
            <a:spcAft>
              <a:spcPct val="35000"/>
            </a:spcAft>
          </a:pPr>
          <a:r>
            <a:rPr lang="fr-FR" sz="1000" kern="1200">
              <a:latin typeface="+mn-lt"/>
            </a:rPr>
            <a:t>2. Obtention de permis de construire</a:t>
          </a:r>
        </a:p>
        <a:p>
          <a:pPr lvl="0" algn="ctr" defTabSz="466725">
            <a:lnSpc>
              <a:spcPct val="90000"/>
            </a:lnSpc>
            <a:spcBef>
              <a:spcPct val="0"/>
            </a:spcBef>
            <a:spcAft>
              <a:spcPct val="35000"/>
            </a:spcAft>
          </a:pPr>
          <a:r>
            <a:rPr lang="fr-FR" sz="1000" kern="1200">
              <a:latin typeface="+mn-lt"/>
            </a:rPr>
            <a:t>3. Raccordement à l'électricité</a:t>
          </a:r>
        </a:p>
        <a:p>
          <a:pPr lvl="0" algn="ctr" defTabSz="466725">
            <a:lnSpc>
              <a:spcPct val="90000"/>
            </a:lnSpc>
            <a:spcBef>
              <a:spcPct val="0"/>
            </a:spcBef>
            <a:spcAft>
              <a:spcPct val="35000"/>
            </a:spcAft>
          </a:pPr>
          <a:r>
            <a:rPr lang="fr-FR" sz="1000" kern="1200">
              <a:latin typeface="+mn-lt"/>
            </a:rPr>
            <a:t>4. Transfert de propriété</a:t>
          </a:r>
        </a:p>
      </dsp:txBody>
      <dsp:txXfrm>
        <a:off x="3809401" y="1218398"/>
        <a:ext cx="1422091" cy="1025145"/>
      </dsp:txXfrm>
    </dsp:sp>
    <dsp:sp modelId="{3CFFD32A-B72C-44AE-BFD7-5E08B9BDE7E6}">
      <dsp:nvSpPr>
        <dsp:cNvPr id="0" name=""/>
        <dsp:cNvSpPr/>
      </dsp:nvSpPr>
      <dsp:spPr>
        <a:xfrm>
          <a:off x="2310479" y="2526943"/>
          <a:ext cx="1488734" cy="949781"/>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1" u="sng" kern="1200">
              <a:solidFill>
                <a:schemeClr val="accent4">
                  <a:lumMod val="60000"/>
                  <a:lumOff val="40000"/>
                </a:schemeClr>
              </a:solidFill>
              <a:latin typeface="+mn-lt"/>
            </a:rPr>
            <a:t>FINANCEMENT</a:t>
          </a:r>
        </a:p>
        <a:p>
          <a:pPr lvl="0" algn="ctr" defTabSz="466725">
            <a:lnSpc>
              <a:spcPct val="90000"/>
            </a:lnSpc>
            <a:spcBef>
              <a:spcPct val="0"/>
            </a:spcBef>
            <a:spcAft>
              <a:spcPct val="35000"/>
            </a:spcAft>
          </a:pPr>
          <a:r>
            <a:rPr lang="fr-FR" sz="1050" kern="1200">
              <a:latin typeface="+mn-lt"/>
              <a:sym typeface="Symbol" panose="05050102010706020507" pitchFamily="18" charset="2"/>
            </a:rPr>
            <a:t>5. </a:t>
          </a:r>
          <a:r>
            <a:rPr lang="fr-FR" sz="1000" kern="1200">
              <a:latin typeface="+mn-lt"/>
            </a:rPr>
            <a:t>Obtention de prêts</a:t>
          </a:r>
        </a:p>
        <a:p>
          <a:pPr lvl="0" algn="ctr" defTabSz="466725">
            <a:lnSpc>
              <a:spcPct val="90000"/>
            </a:lnSpc>
            <a:spcBef>
              <a:spcPct val="0"/>
            </a:spcBef>
            <a:spcAft>
              <a:spcPct val="35000"/>
            </a:spcAft>
          </a:pPr>
          <a:r>
            <a:rPr lang="fr-FR" sz="1000" kern="1200">
              <a:latin typeface="+mn-lt"/>
              <a:sym typeface="Symbol" panose="05050102010706020507" pitchFamily="18" charset="2"/>
            </a:rPr>
            <a:t>6. </a:t>
          </a:r>
          <a:r>
            <a:rPr lang="fr-FR" sz="1000" kern="1200">
              <a:latin typeface="+mn-lt"/>
            </a:rPr>
            <a:t>Protection des investisseurs minoritaires</a:t>
          </a:r>
        </a:p>
      </dsp:txBody>
      <dsp:txXfrm>
        <a:off x="2310479" y="2526943"/>
        <a:ext cx="1488734" cy="949781"/>
      </dsp:txXfrm>
    </dsp:sp>
    <dsp:sp modelId="{77DA6B7C-349C-44E1-9349-FA6F04DD38A2}">
      <dsp:nvSpPr>
        <dsp:cNvPr id="0" name=""/>
        <dsp:cNvSpPr/>
      </dsp:nvSpPr>
      <dsp:spPr>
        <a:xfrm>
          <a:off x="856471" y="1219743"/>
          <a:ext cx="1462877" cy="102514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fr-FR" sz="1050" b="1" u="sng" kern="1200">
              <a:solidFill>
                <a:schemeClr val="accent4">
                  <a:lumMod val="60000"/>
                  <a:lumOff val="40000"/>
                </a:schemeClr>
              </a:solidFill>
              <a:latin typeface="+mn-lt"/>
            </a:rPr>
            <a:t>EN CAS DE DIFFICULTÉS</a:t>
          </a:r>
        </a:p>
        <a:p>
          <a:pPr lvl="0" algn="ctr" defTabSz="466725">
            <a:lnSpc>
              <a:spcPct val="90000"/>
            </a:lnSpc>
            <a:spcBef>
              <a:spcPct val="0"/>
            </a:spcBef>
            <a:spcAft>
              <a:spcPct val="35000"/>
            </a:spcAft>
          </a:pPr>
          <a:r>
            <a:rPr lang="fr-FR" sz="1050" kern="1200">
              <a:latin typeface="+mn-lt"/>
              <a:sym typeface="Symbol" panose="05050102010706020507" pitchFamily="18" charset="2"/>
            </a:rPr>
            <a:t>9. </a:t>
          </a:r>
          <a:r>
            <a:rPr lang="fr-FR" sz="1000" kern="1200">
              <a:solidFill>
                <a:schemeClr val="bg1"/>
              </a:solidFill>
              <a:latin typeface="+mn-lt"/>
            </a:rPr>
            <a:t>Excution des contrats</a:t>
          </a:r>
        </a:p>
        <a:p>
          <a:pPr lvl="0" algn="ctr" defTabSz="466725">
            <a:lnSpc>
              <a:spcPct val="90000"/>
            </a:lnSpc>
            <a:spcBef>
              <a:spcPct val="0"/>
            </a:spcBef>
            <a:spcAft>
              <a:spcPct val="35000"/>
            </a:spcAft>
          </a:pPr>
          <a:r>
            <a:rPr lang="fr-FR" sz="1000" kern="1200">
              <a:latin typeface="+mn-lt"/>
              <a:sym typeface="Symbol" panose="05050102010706020507" pitchFamily="18" charset="2"/>
            </a:rPr>
            <a:t>10. </a:t>
          </a:r>
          <a:r>
            <a:rPr lang="fr-FR" sz="1000" kern="1200">
              <a:solidFill>
                <a:schemeClr val="bg1"/>
              </a:solidFill>
              <a:latin typeface="+mn-lt"/>
            </a:rPr>
            <a:t>Règlement de l'insolvabilité</a:t>
          </a:r>
        </a:p>
      </dsp:txBody>
      <dsp:txXfrm>
        <a:off x="856471" y="1219743"/>
        <a:ext cx="1462877" cy="10251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7</Pages>
  <Words>2113</Words>
  <Characters>11622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MOURCHID</dc:creator>
  <cp:keywords/>
  <dc:description/>
  <cp:lastModifiedBy>KHAIL</cp:lastModifiedBy>
  <cp:revision>31</cp:revision>
  <cp:lastPrinted>2015-10-28T12:13:00Z</cp:lastPrinted>
  <dcterms:created xsi:type="dcterms:W3CDTF">2015-10-27T17:41:00Z</dcterms:created>
  <dcterms:modified xsi:type="dcterms:W3CDTF">2015-12-02T05:16:00Z</dcterms:modified>
</cp:coreProperties>
</file>